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11"/>
        </w:tabs>
        <w:spacing w:line="360" w:lineRule="auto"/>
        <w:jc w:val="center"/>
        <w:rPr>
          <w:b w:val="1"/>
          <w:sz w:val="28"/>
          <w:szCs w:val="28"/>
        </w:rPr>
      </w:pPr>
      <w:r w:rsidDel="00000000" w:rsidR="00000000" w:rsidRPr="00000000">
        <w:rPr>
          <w:b w:val="1"/>
          <w:sz w:val="28"/>
          <w:szCs w:val="28"/>
          <w:rtl w:val="0"/>
        </w:rPr>
        <w:t xml:space="preserve">МІНІСТЕРСТВО ОСВІТИ І НАУКИ УКРАЇНИ</w:t>
      </w:r>
    </w:p>
    <w:p w:rsidR="00000000" w:rsidDel="00000000" w:rsidP="00000000" w:rsidRDefault="00000000" w:rsidRPr="00000000" w14:paraId="00000002">
      <w:pPr>
        <w:tabs>
          <w:tab w:val="left" w:leader="none" w:pos="711"/>
        </w:tabs>
        <w:spacing w:line="360" w:lineRule="auto"/>
        <w:jc w:val="center"/>
        <w:rPr>
          <w:b w:val="1"/>
          <w:sz w:val="28"/>
          <w:szCs w:val="28"/>
        </w:rPr>
      </w:pPr>
      <w:r w:rsidDel="00000000" w:rsidR="00000000" w:rsidRPr="00000000">
        <w:rPr>
          <w:b w:val="1"/>
          <w:sz w:val="28"/>
          <w:szCs w:val="28"/>
          <w:rtl w:val="0"/>
        </w:rPr>
        <w:t xml:space="preserve">Одеська державна академія будівництва та архітектури</w:t>
      </w:r>
    </w:p>
    <w:p w:rsidR="00000000" w:rsidDel="00000000" w:rsidP="00000000" w:rsidRDefault="00000000" w:rsidRPr="00000000" w14:paraId="00000003">
      <w:pPr>
        <w:tabs>
          <w:tab w:val="left" w:leader="none" w:pos="711"/>
        </w:tabs>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4">
      <w:pPr>
        <w:tabs>
          <w:tab w:val="left" w:leader="none" w:pos="711"/>
        </w:tabs>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5">
      <w:pPr>
        <w:tabs>
          <w:tab w:val="left" w:leader="none" w:pos="711"/>
        </w:tabs>
        <w:spacing w:line="360" w:lineRule="auto"/>
        <w:jc w:val="center"/>
        <w:rPr>
          <w:b w:val="1"/>
          <w:sz w:val="28"/>
          <w:szCs w:val="28"/>
        </w:rPr>
      </w:pPr>
      <w:r w:rsidDel="00000000" w:rsidR="00000000" w:rsidRPr="00000000">
        <w:rPr>
          <w:rtl w:val="0"/>
        </w:rPr>
      </w:r>
    </w:p>
    <w:tbl>
      <w:tblPr>
        <w:tblStyle w:val="Table1"/>
        <w:tblW w:w="9765.0" w:type="dxa"/>
        <w:jc w:val="left"/>
        <w:tblInd w:w="-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60"/>
        <w:gridCol w:w="4605"/>
        <w:tblGridChange w:id="0">
          <w:tblGrid>
            <w:gridCol w:w="5160"/>
            <w:gridCol w:w="4605"/>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tabs>
                <w:tab w:val="left" w:leader="none" w:pos="711"/>
              </w:tabs>
              <w:spacing w:line="360" w:lineRule="auto"/>
              <w:rPr>
                <w:b w:val="1"/>
                <w:sz w:val="28"/>
                <w:szCs w:val="28"/>
              </w:rPr>
            </w:pPr>
            <w:r w:rsidDel="00000000" w:rsidR="00000000" w:rsidRPr="00000000">
              <w:rPr>
                <w:rtl w:val="0"/>
              </w:rPr>
            </w:r>
          </w:p>
          <w:p w:rsidR="00000000" w:rsidDel="00000000" w:rsidP="00000000" w:rsidRDefault="00000000" w:rsidRPr="00000000" w14:paraId="00000007">
            <w:pPr>
              <w:tabs>
                <w:tab w:val="left" w:leader="none" w:pos="711"/>
              </w:tabs>
              <w:spacing w:line="360" w:lineRule="auto"/>
              <w:rPr>
                <w:b w:val="1"/>
                <w:sz w:val="28"/>
                <w:szCs w:val="28"/>
              </w:rPr>
            </w:pPr>
            <w:r w:rsidDel="00000000" w:rsidR="00000000" w:rsidRPr="00000000">
              <w:rPr>
                <w:b w:val="1"/>
                <w:sz w:val="28"/>
                <w:szCs w:val="28"/>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tabs>
                <w:tab w:val="left" w:leader="none" w:pos="711"/>
              </w:tabs>
              <w:spacing w:line="360" w:lineRule="auto"/>
              <w:jc w:val="both"/>
              <w:rPr>
                <w:sz w:val="28"/>
                <w:szCs w:val="28"/>
              </w:rPr>
            </w:pPr>
            <w:r w:rsidDel="00000000" w:rsidR="00000000" w:rsidRPr="00000000">
              <w:rPr>
                <w:b w:val="1"/>
                <w:sz w:val="28"/>
                <w:szCs w:val="28"/>
                <w:rtl w:val="0"/>
              </w:rPr>
              <w:t xml:space="preserve">ЗАТВЕРДЖУЮ</w:t>
            </w:r>
            <w:r w:rsidDel="00000000" w:rsidR="00000000" w:rsidRPr="00000000">
              <w:rPr>
                <w:rtl w:val="0"/>
              </w:rPr>
            </w:r>
          </w:p>
          <w:p w:rsidR="00000000" w:rsidDel="00000000" w:rsidP="00000000" w:rsidRDefault="00000000" w:rsidRPr="00000000" w14:paraId="00000009">
            <w:pPr>
              <w:tabs>
                <w:tab w:val="left" w:leader="none" w:pos="711"/>
              </w:tabs>
              <w:spacing w:line="360" w:lineRule="auto"/>
              <w:jc w:val="both"/>
              <w:rPr>
                <w:sz w:val="28"/>
                <w:szCs w:val="28"/>
              </w:rPr>
            </w:pPr>
            <w:r w:rsidDel="00000000" w:rsidR="00000000" w:rsidRPr="00000000">
              <w:rPr>
                <w:sz w:val="28"/>
                <w:szCs w:val="28"/>
                <w:rtl w:val="0"/>
              </w:rPr>
              <w:t xml:space="preserve">Ректор </w:t>
            </w:r>
          </w:p>
          <w:p w:rsidR="00000000" w:rsidDel="00000000" w:rsidP="00000000" w:rsidRDefault="00000000" w:rsidRPr="00000000" w14:paraId="0000000A">
            <w:pPr>
              <w:tabs>
                <w:tab w:val="left" w:leader="none" w:pos="711"/>
              </w:tabs>
              <w:spacing w:line="360" w:lineRule="auto"/>
              <w:jc w:val="right"/>
              <w:rPr>
                <w:sz w:val="28"/>
                <w:szCs w:val="28"/>
              </w:rPr>
            </w:pPr>
            <w:r w:rsidDel="00000000" w:rsidR="00000000" w:rsidRPr="00000000">
              <w:rPr>
                <w:rtl w:val="0"/>
              </w:rPr>
            </w:r>
          </w:p>
          <w:p w:rsidR="00000000" w:rsidDel="00000000" w:rsidP="00000000" w:rsidRDefault="00000000" w:rsidRPr="00000000" w14:paraId="0000000B">
            <w:pPr>
              <w:tabs>
                <w:tab w:val="left" w:leader="none" w:pos="711"/>
              </w:tabs>
              <w:spacing w:line="360" w:lineRule="auto"/>
              <w:jc w:val="right"/>
              <w:rPr>
                <w:sz w:val="28"/>
                <w:szCs w:val="28"/>
              </w:rPr>
            </w:pPr>
            <w:r w:rsidDel="00000000" w:rsidR="00000000" w:rsidRPr="00000000">
              <w:rPr>
                <w:sz w:val="28"/>
                <w:szCs w:val="28"/>
                <w:rtl w:val="0"/>
              </w:rPr>
              <w:t xml:space="preserve"> Анатолій КОВРОВ</w:t>
            </w:r>
          </w:p>
          <w:p w:rsidR="00000000" w:rsidDel="00000000" w:rsidP="00000000" w:rsidRDefault="00000000" w:rsidRPr="00000000" w14:paraId="0000000C">
            <w:pPr>
              <w:tabs>
                <w:tab w:val="left" w:leader="none" w:pos="711"/>
              </w:tabs>
              <w:spacing w:after="240" w:before="240" w:line="360" w:lineRule="auto"/>
              <w:jc w:val="both"/>
              <w:rPr>
                <w:sz w:val="28"/>
                <w:szCs w:val="28"/>
              </w:rPr>
            </w:pPr>
            <w:r w:rsidDel="00000000" w:rsidR="00000000" w:rsidRPr="00000000">
              <w:rPr>
                <w:sz w:val="28"/>
                <w:szCs w:val="28"/>
                <w:rtl w:val="0"/>
              </w:rPr>
              <w:t xml:space="preserve">«____» __________________</w:t>
            </w:r>
            <w:r w:rsidDel="00000000" w:rsidR="00000000" w:rsidRPr="00000000">
              <w:rPr>
                <w:sz w:val="28"/>
                <w:szCs w:val="28"/>
                <w:highlight w:val="white"/>
                <w:rtl w:val="0"/>
              </w:rPr>
              <w:t xml:space="preserve"> </w:t>
            </w:r>
            <w:r w:rsidDel="00000000" w:rsidR="00000000" w:rsidRPr="00000000">
              <w:rPr>
                <w:sz w:val="28"/>
                <w:szCs w:val="28"/>
                <w:rtl w:val="0"/>
              </w:rPr>
              <w:t xml:space="preserve">2024 р.</w:t>
            </w:r>
          </w:p>
        </w:tc>
      </w:tr>
    </w:tbl>
    <w:p w:rsidR="00000000" w:rsidDel="00000000" w:rsidP="00000000" w:rsidRDefault="00000000" w:rsidRPr="00000000" w14:paraId="0000000D">
      <w:pPr>
        <w:tabs>
          <w:tab w:val="left" w:leader="none" w:pos="711"/>
        </w:tabs>
        <w:spacing w:line="360" w:lineRule="auto"/>
        <w:jc w:val="right"/>
        <w:rPr>
          <w:b w:val="1"/>
          <w:sz w:val="24"/>
          <w:szCs w:val="24"/>
        </w:rPr>
      </w:pPr>
      <w:r w:rsidDel="00000000" w:rsidR="00000000" w:rsidRPr="00000000">
        <w:rPr>
          <w:rtl w:val="0"/>
        </w:rPr>
      </w:r>
    </w:p>
    <w:p w:rsidR="00000000" w:rsidDel="00000000" w:rsidP="00000000" w:rsidRDefault="00000000" w:rsidRPr="00000000" w14:paraId="0000000E">
      <w:pPr>
        <w:tabs>
          <w:tab w:val="left" w:leader="none" w:pos="711"/>
        </w:tabs>
        <w:spacing w:line="360" w:lineRule="auto"/>
        <w:jc w:val="center"/>
        <w:rPr>
          <w:b w:val="1"/>
          <w:sz w:val="24"/>
          <w:szCs w:val="24"/>
        </w:rPr>
      </w:pPr>
      <w:r w:rsidDel="00000000" w:rsidR="00000000" w:rsidRPr="00000000">
        <w:rPr>
          <w:b w:val="1"/>
          <w:sz w:val="24"/>
          <w:szCs w:val="24"/>
          <w:rtl w:val="0"/>
        </w:rPr>
        <w:t xml:space="preserve">ПРОЕКТ</w:t>
      </w:r>
    </w:p>
    <w:p w:rsidR="00000000" w:rsidDel="00000000" w:rsidP="00000000" w:rsidRDefault="00000000" w:rsidRPr="00000000" w14:paraId="0000000F">
      <w:pPr>
        <w:tabs>
          <w:tab w:val="left" w:leader="none" w:pos="711"/>
        </w:tabs>
        <w:spacing w:line="360" w:lineRule="auto"/>
        <w:jc w:val="center"/>
        <w:rPr>
          <w:b w:val="1"/>
          <w:sz w:val="32"/>
          <w:szCs w:val="32"/>
        </w:rPr>
      </w:pPr>
      <w:r w:rsidDel="00000000" w:rsidR="00000000" w:rsidRPr="00000000">
        <w:rPr>
          <w:b w:val="1"/>
          <w:sz w:val="32"/>
          <w:szCs w:val="32"/>
          <w:rtl w:val="0"/>
        </w:rPr>
        <w:t xml:space="preserve">ПОРЯДОК</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2" w:lineRule="auto"/>
        <w:ind w:left="420" w:right="338" w:firstLine="0"/>
        <w:jc w:val="center"/>
        <w:rPr>
          <w:color w:val="000000"/>
          <w:sz w:val="28"/>
          <w:szCs w:val="28"/>
        </w:rPr>
      </w:pPr>
      <w:r w:rsidDel="00000000" w:rsidR="00000000" w:rsidRPr="00000000">
        <w:rPr>
          <w:color w:val="383838"/>
          <w:sz w:val="28"/>
          <w:szCs w:val="28"/>
          <w:rtl w:val="0"/>
        </w:rPr>
        <w:t xml:space="preserve">супроводу </w:t>
      </w:r>
      <w:r w:rsidDel="00000000" w:rsidR="00000000" w:rsidRPr="00000000">
        <w:rPr>
          <w:color w:val="444444"/>
          <w:sz w:val="28"/>
          <w:szCs w:val="28"/>
          <w:rtl w:val="0"/>
        </w:rPr>
        <w:t xml:space="preserve">(надання </w:t>
      </w:r>
      <w:r w:rsidDel="00000000" w:rsidR="00000000" w:rsidRPr="00000000">
        <w:rPr>
          <w:color w:val="3d3d3d"/>
          <w:sz w:val="28"/>
          <w:szCs w:val="28"/>
          <w:rtl w:val="0"/>
        </w:rPr>
        <w:t xml:space="preserve">допомоги) </w:t>
      </w:r>
      <w:r w:rsidDel="00000000" w:rsidR="00000000" w:rsidRPr="00000000">
        <w:rPr>
          <w:color w:val="313131"/>
          <w:sz w:val="28"/>
          <w:szCs w:val="28"/>
          <w:rtl w:val="0"/>
        </w:rPr>
        <w:t xml:space="preserve">осіб </w:t>
      </w:r>
      <w:r w:rsidDel="00000000" w:rsidR="00000000" w:rsidRPr="00000000">
        <w:rPr>
          <w:color w:val="424242"/>
          <w:sz w:val="28"/>
          <w:szCs w:val="28"/>
          <w:rtl w:val="0"/>
        </w:rPr>
        <w:t xml:space="preserve">з </w:t>
      </w:r>
      <w:r w:rsidDel="00000000" w:rsidR="00000000" w:rsidRPr="00000000">
        <w:rPr>
          <w:color w:val="363636"/>
          <w:sz w:val="28"/>
          <w:szCs w:val="28"/>
          <w:rtl w:val="0"/>
        </w:rPr>
        <w:t xml:space="preserve">обмеженими </w:t>
      </w:r>
      <w:r w:rsidDel="00000000" w:rsidR="00000000" w:rsidRPr="00000000">
        <w:rPr>
          <w:color w:val="414141"/>
          <w:sz w:val="28"/>
          <w:szCs w:val="28"/>
          <w:rtl w:val="0"/>
        </w:rPr>
        <w:t xml:space="preserve">фізичними </w:t>
      </w:r>
      <w:r w:rsidDel="00000000" w:rsidR="00000000" w:rsidRPr="00000000">
        <w:rPr>
          <w:color w:val="3d3d3d"/>
          <w:sz w:val="28"/>
          <w:szCs w:val="28"/>
          <w:rtl w:val="0"/>
        </w:rPr>
        <w:t xml:space="preserve">можливостями, громадян похилого </w:t>
      </w:r>
      <w:r w:rsidDel="00000000" w:rsidR="00000000" w:rsidRPr="00000000">
        <w:rPr>
          <w:color w:val="3b3b3b"/>
          <w:sz w:val="28"/>
          <w:szCs w:val="28"/>
          <w:rtl w:val="0"/>
        </w:rPr>
        <w:t xml:space="preserve">віку, </w:t>
      </w:r>
      <w:r w:rsidDel="00000000" w:rsidR="00000000" w:rsidRPr="00000000">
        <w:rPr>
          <w:color w:val="363636"/>
          <w:sz w:val="28"/>
          <w:szCs w:val="28"/>
          <w:rtl w:val="0"/>
        </w:rPr>
        <w:t xml:space="preserve">інших </w:t>
      </w:r>
      <w:r w:rsidDel="00000000" w:rsidR="00000000" w:rsidRPr="00000000">
        <w:rPr>
          <w:color w:val="343434"/>
          <w:sz w:val="28"/>
          <w:szCs w:val="28"/>
          <w:rtl w:val="0"/>
        </w:rPr>
        <w:t xml:space="preserve">маломобільних </w:t>
      </w:r>
      <w:r w:rsidDel="00000000" w:rsidR="00000000" w:rsidRPr="00000000">
        <w:rPr>
          <w:color w:val="383838"/>
          <w:sz w:val="28"/>
          <w:szCs w:val="28"/>
          <w:rtl w:val="0"/>
        </w:rPr>
        <w:t xml:space="preserve">rpyп </w:t>
      </w:r>
      <w:r w:rsidDel="00000000" w:rsidR="00000000" w:rsidRPr="00000000">
        <w:rPr>
          <w:color w:val="3d3d3d"/>
          <w:sz w:val="28"/>
          <w:szCs w:val="28"/>
          <w:rtl w:val="0"/>
        </w:rPr>
        <w:t xml:space="preserve">населення </w:t>
      </w:r>
      <w:r w:rsidDel="00000000" w:rsidR="00000000" w:rsidRPr="00000000">
        <w:rPr>
          <w:color w:val="343434"/>
          <w:sz w:val="28"/>
          <w:szCs w:val="28"/>
          <w:rtl w:val="0"/>
        </w:rPr>
        <w:t xml:space="preserve">під </w:t>
      </w:r>
      <w:r w:rsidDel="00000000" w:rsidR="00000000" w:rsidRPr="00000000">
        <w:rPr>
          <w:color w:val="444444"/>
          <w:sz w:val="28"/>
          <w:szCs w:val="28"/>
          <w:rtl w:val="0"/>
        </w:rPr>
        <w:t xml:space="preserve">час </w:t>
      </w:r>
      <w:r w:rsidDel="00000000" w:rsidR="00000000" w:rsidRPr="00000000">
        <w:rPr>
          <w:color w:val="3a3a3a"/>
          <w:sz w:val="28"/>
          <w:szCs w:val="28"/>
          <w:rtl w:val="0"/>
        </w:rPr>
        <w:t xml:space="preserve">перебування </w:t>
      </w:r>
      <w:r w:rsidDel="00000000" w:rsidR="00000000" w:rsidRPr="00000000">
        <w:rPr>
          <w:color w:val="424242"/>
          <w:sz w:val="28"/>
          <w:szCs w:val="28"/>
          <w:rtl w:val="0"/>
        </w:rPr>
        <w:t xml:space="preserve">на </w:t>
      </w:r>
      <w:r w:rsidDel="00000000" w:rsidR="00000000" w:rsidRPr="00000000">
        <w:rPr>
          <w:color w:val="3f3f3f"/>
          <w:sz w:val="28"/>
          <w:szCs w:val="28"/>
          <w:rtl w:val="0"/>
        </w:rPr>
        <w:t xml:space="preserve">території</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06" w:lineRule="auto"/>
        <w:ind w:left="420" w:right="331" w:firstLine="0"/>
        <w:jc w:val="center"/>
        <w:rPr>
          <w:color w:val="000000"/>
          <w:sz w:val="28"/>
          <w:szCs w:val="28"/>
        </w:rPr>
      </w:pPr>
      <w:r w:rsidDel="00000000" w:rsidR="00000000" w:rsidRPr="00000000">
        <w:rPr>
          <w:color w:val="444444"/>
          <w:sz w:val="28"/>
          <w:szCs w:val="28"/>
          <w:rtl w:val="0"/>
        </w:rPr>
        <w:t xml:space="preserve">Одеської </w:t>
      </w:r>
      <w:r w:rsidDel="00000000" w:rsidR="00000000" w:rsidRPr="00000000">
        <w:rPr>
          <w:color w:val="3d3d3d"/>
          <w:sz w:val="28"/>
          <w:szCs w:val="28"/>
          <w:rtl w:val="0"/>
        </w:rPr>
        <w:t xml:space="preserve">державної </w:t>
      </w:r>
      <w:r w:rsidDel="00000000" w:rsidR="00000000" w:rsidRPr="00000000">
        <w:rPr>
          <w:color w:val="3a3a3a"/>
          <w:sz w:val="28"/>
          <w:szCs w:val="28"/>
          <w:rtl w:val="0"/>
        </w:rPr>
        <w:t xml:space="preserve">академії </w:t>
      </w:r>
      <w:r w:rsidDel="00000000" w:rsidR="00000000" w:rsidRPr="00000000">
        <w:rPr>
          <w:color w:val="3f3f3f"/>
          <w:sz w:val="28"/>
          <w:szCs w:val="28"/>
          <w:rtl w:val="0"/>
        </w:rPr>
        <w:t xml:space="preserve">будівництва </w:t>
      </w:r>
      <w:r w:rsidDel="00000000" w:rsidR="00000000" w:rsidRPr="00000000">
        <w:rPr>
          <w:color w:val="494949"/>
          <w:sz w:val="28"/>
          <w:szCs w:val="28"/>
          <w:rtl w:val="0"/>
        </w:rPr>
        <w:t xml:space="preserve">та </w:t>
      </w:r>
      <w:r w:rsidDel="00000000" w:rsidR="00000000" w:rsidRPr="00000000">
        <w:rPr>
          <w:color w:val="424242"/>
          <w:sz w:val="28"/>
          <w:szCs w:val="28"/>
          <w:rtl w:val="0"/>
        </w:rPr>
        <w:t xml:space="preserve">архітектури</w:t>
      </w:r>
      <w:r w:rsidDel="00000000" w:rsidR="00000000" w:rsidRPr="00000000">
        <w:rPr>
          <w:rtl w:val="0"/>
        </w:rPr>
      </w:r>
    </w:p>
    <w:p w:rsidR="00000000" w:rsidDel="00000000" w:rsidP="00000000" w:rsidRDefault="00000000" w:rsidRPr="00000000" w14:paraId="00000012">
      <w:pPr>
        <w:tabs>
          <w:tab w:val="left" w:leader="none" w:pos="711"/>
        </w:tabs>
        <w:spacing w:line="360" w:lineRule="auto"/>
        <w:jc w:val="center"/>
        <w:rPr>
          <w:b w:val="1"/>
          <w:sz w:val="36"/>
          <w:szCs w:val="36"/>
        </w:rPr>
      </w:pPr>
      <w:r w:rsidDel="00000000" w:rsidR="00000000" w:rsidRPr="00000000">
        <w:rPr>
          <w:rtl w:val="0"/>
        </w:rPr>
      </w:r>
    </w:p>
    <w:p w:rsidR="00000000" w:rsidDel="00000000" w:rsidP="00000000" w:rsidRDefault="00000000" w:rsidRPr="00000000" w14:paraId="00000013">
      <w:pPr>
        <w:tabs>
          <w:tab w:val="left" w:leader="none" w:pos="711"/>
        </w:tabs>
        <w:spacing w:line="360" w:lineRule="auto"/>
        <w:jc w:val="center"/>
        <w:rPr>
          <w:b w:val="1"/>
          <w:sz w:val="24"/>
          <w:szCs w:val="24"/>
        </w:rPr>
      </w:pPr>
      <w:r w:rsidDel="00000000" w:rsidR="00000000" w:rsidRPr="00000000">
        <w:rPr>
          <w:rtl w:val="0"/>
        </w:rPr>
      </w:r>
    </w:p>
    <w:p w:rsidR="00000000" w:rsidDel="00000000" w:rsidP="00000000" w:rsidRDefault="00000000" w:rsidRPr="00000000" w14:paraId="00000014">
      <w:pPr>
        <w:tabs>
          <w:tab w:val="left" w:leader="none" w:pos="711"/>
        </w:tabs>
        <w:spacing w:line="360" w:lineRule="auto"/>
        <w:jc w:val="right"/>
        <w:rPr>
          <w:b w:val="1"/>
          <w:sz w:val="24"/>
          <w:szCs w:val="24"/>
        </w:rPr>
      </w:pPr>
      <w:r w:rsidDel="00000000" w:rsidR="00000000" w:rsidRPr="00000000">
        <w:rPr>
          <w:rtl w:val="0"/>
        </w:rPr>
      </w:r>
    </w:p>
    <w:tbl>
      <w:tblPr>
        <w:tblStyle w:val="Table2"/>
        <w:tblW w:w="10140.0" w:type="dxa"/>
        <w:jc w:val="left"/>
        <w:tblInd w:w="-275.0" w:type="dxa"/>
        <w:tblLayout w:type="fixed"/>
        <w:tblLook w:val="0000"/>
      </w:tblPr>
      <w:tblGrid>
        <w:gridCol w:w="5033"/>
        <w:gridCol w:w="5107"/>
        <w:tblGridChange w:id="0">
          <w:tblGrid>
            <w:gridCol w:w="5033"/>
            <w:gridCol w:w="5107"/>
          </w:tblGrid>
        </w:tblGridChange>
      </w:tblGrid>
      <w:tr>
        <w:trPr>
          <w:cantSplit w:val="0"/>
          <w:trHeight w:val="2842" w:hRule="atLeast"/>
          <w:tblHeader w:val="0"/>
        </w:trPr>
        <w:tc>
          <w:tcPr/>
          <w:p w:rsidR="00000000" w:rsidDel="00000000" w:rsidP="00000000" w:rsidRDefault="00000000" w:rsidRPr="00000000" w14:paraId="00000015">
            <w:pPr>
              <w:tabs>
                <w:tab w:val="left" w:leader="none" w:pos="711"/>
              </w:tabs>
              <w:spacing w:line="360" w:lineRule="auto"/>
              <w:rPr>
                <w:b w:val="1"/>
                <w:sz w:val="24"/>
                <w:szCs w:val="24"/>
              </w:rPr>
            </w:pPr>
            <w:r w:rsidDel="00000000" w:rsidR="00000000" w:rsidRPr="00000000">
              <w:rPr>
                <w:rtl w:val="0"/>
              </w:rPr>
            </w:r>
          </w:p>
          <w:p w:rsidR="00000000" w:rsidDel="00000000" w:rsidP="00000000" w:rsidRDefault="00000000" w:rsidRPr="00000000" w14:paraId="00000016">
            <w:pPr>
              <w:tabs>
                <w:tab w:val="left" w:leader="none" w:pos="711"/>
              </w:tabs>
              <w:spacing w:line="360" w:lineRule="auto"/>
              <w:rPr>
                <w:b w:val="1"/>
                <w:sz w:val="24"/>
                <w:szCs w:val="24"/>
              </w:rPr>
            </w:pPr>
            <w:r w:rsidDel="00000000" w:rsidR="00000000" w:rsidRPr="00000000">
              <w:rPr>
                <w:b w:val="1"/>
                <w:sz w:val="24"/>
                <w:szCs w:val="24"/>
                <w:rtl w:val="0"/>
              </w:rPr>
              <w:t xml:space="preserve"> </w:t>
            </w:r>
          </w:p>
        </w:tc>
        <w:tc>
          <w:tcPr/>
          <w:p w:rsidR="00000000" w:rsidDel="00000000" w:rsidP="00000000" w:rsidRDefault="00000000" w:rsidRPr="00000000" w14:paraId="00000017">
            <w:pPr>
              <w:tabs>
                <w:tab w:val="left" w:leader="none" w:pos="711"/>
              </w:tabs>
              <w:jc w:val="both"/>
              <w:rPr>
                <w:b w:val="1"/>
                <w:sz w:val="28"/>
                <w:szCs w:val="28"/>
              </w:rPr>
            </w:pPr>
            <w:r w:rsidDel="00000000" w:rsidR="00000000" w:rsidRPr="00000000">
              <w:rPr>
                <w:b w:val="1"/>
                <w:sz w:val="28"/>
                <w:szCs w:val="28"/>
                <w:rtl w:val="0"/>
              </w:rPr>
              <w:t xml:space="preserve">СХВАЛЕНО </w:t>
            </w:r>
          </w:p>
          <w:p w:rsidR="00000000" w:rsidDel="00000000" w:rsidP="00000000" w:rsidRDefault="00000000" w:rsidRPr="00000000" w14:paraId="00000018">
            <w:pPr>
              <w:tabs>
                <w:tab w:val="left" w:leader="none" w:pos="711"/>
              </w:tabs>
              <w:rPr>
                <w:sz w:val="28"/>
                <w:szCs w:val="28"/>
              </w:rPr>
            </w:pPr>
            <w:r w:rsidDel="00000000" w:rsidR="00000000" w:rsidRPr="00000000">
              <w:rPr>
                <w:sz w:val="28"/>
                <w:szCs w:val="28"/>
                <w:rtl w:val="0"/>
              </w:rPr>
              <w:t xml:space="preserve">Вченою радою </w:t>
            </w:r>
          </w:p>
          <w:p w:rsidR="00000000" w:rsidDel="00000000" w:rsidP="00000000" w:rsidRDefault="00000000" w:rsidRPr="00000000" w14:paraId="00000019">
            <w:pPr>
              <w:tabs>
                <w:tab w:val="left" w:leader="none" w:pos="711"/>
              </w:tabs>
              <w:rPr>
                <w:sz w:val="28"/>
                <w:szCs w:val="28"/>
              </w:rPr>
            </w:pPr>
            <w:r w:rsidDel="00000000" w:rsidR="00000000" w:rsidRPr="00000000">
              <w:rPr>
                <w:sz w:val="28"/>
                <w:szCs w:val="28"/>
                <w:rtl w:val="0"/>
              </w:rPr>
              <w:t xml:space="preserve">Одеської державної академії будівництва та архітектури </w:t>
            </w:r>
          </w:p>
          <w:p w:rsidR="00000000" w:rsidDel="00000000" w:rsidP="00000000" w:rsidRDefault="00000000" w:rsidRPr="00000000" w14:paraId="0000001A">
            <w:pPr>
              <w:tabs>
                <w:tab w:val="left" w:leader="none" w:pos="711"/>
              </w:tabs>
              <w:rPr>
                <w:color w:val="ffffff"/>
                <w:sz w:val="28"/>
                <w:szCs w:val="28"/>
              </w:rPr>
            </w:pPr>
            <w:r w:rsidDel="00000000" w:rsidR="00000000" w:rsidRPr="00000000">
              <w:rPr>
                <w:sz w:val="28"/>
                <w:szCs w:val="28"/>
                <w:rtl w:val="0"/>
              </w:rPr>
              <w:t xml:space="preserve">Протокол №</w:t>
            </w:r>
            <w:r w:rsidDel="00000000" w:rsidR="00000000" w:rsidRPr="00000000">
              <w:rPr>
                <w:sz w:val="28"/>
                <w:szCs w:val="28"/>
                <w:highlight w:val="white"/>
                <w:rtl w:val="0"/>
              </w:rPr>
              <w:t xml:space="preserve">    </w:t>
            </w:r>
            <w:r w:rsidDel="00000000" w:rsidR="00000000" w:rsidRPr="00000000">
              <w:rPr>
                <w:sz w:val="28"/>
                <w:szCs w:val="28"/>
                <w:rtl w:val="0"/>
              </w:rPr>
              <w:t xml:space="preserve">від          2024 р. </w:t>
            </w:r>
            <w:r w:rsidDel="00000000" w:rsidR="00000000" w:rsidRPr="00000000">
              <w:rPr>
                <w:rtl w:val="0"/>
              </w:rPr>
            </w:r>
          </w:p>
          <w:p w:rsidR="00000000" w:rsidDel="00000000" w:rsidP="00000000" w:rsidRDefault="00000000" w:rsidRPr="00000000" w14:paraId="0000001B">
            <w:pPr>
              <w:tabs>
                <w:tab w:val="left" w:leader="none" w:pos="711"/>
              </w:tabs>
              <w:spacing w:line="360" w:lineRule="auto"/>
              <w:rPr>
                <w:color w:val="ffffff"/>
                <w:sz w:val="28"/>
                <w:szCs w:val="28"/>
              </w:rPr>
            </w:pPr>
            <w:r w:rsidDel="00000000" w:rsidR="00000000" w:rsidRPr="00000000">
              <w:rPr>
                <w:color w:val="ffffff"/>
                <w:sz w:val="28"/>
                <w:szCs w:val="28"/>
                <w:rtl w:val="0"/>
              </w:rPr>
              <w:t xml:space="preserve">Одеської державної академії ” </w:t>
            </w:r>
            <w:r w:rsidDel="00000000" w:rsidR="00000000" w:rsidRPr="00000000">
              <w:rPr>
                <w:color w:val="ffffff"/>
                <w:sz w:val="28"/>
                <w:szCs w:val="28"/>
                <w:highlight w:val="white"/>
                <w:rtl w:val="0"/>
              </w:rPr>
              <w:t xml:space="preserve">           </w:t>
            </w:r>
            <w:r w:rsidDel="00000000" w:rsidR="00000000" w:rsidRPr="00000000">
              <w:rPr>
                <w:color w:val="ffffff"/>
                <w:sz w:val="28"/>
                <w:szCs w:val="28"/>
                <w:rtl w:val="0"/>
              </w:rPr>
              <w:t xml:space="preserve">2023 р.</w:t>
            </w:r>
          </w:p>
        </w:tc>
      </w:tr>
    </w:tbl>
    <w:p w:rsidR="00000000" w:rsidDel="00000000" w:rsidP="00000000" w:rsidRDefault="00000000" w:rsidRPr="00000000" w14:paraId="0000001C">
      <w:pPr>
        <w:tabs>
          <w:tab w:val="left" w:leader="none" w:pos="711"/>
        </w:tabs>
        <w:spacing w:line="360" w:lineRule="auto"/>
        <w:rPr>
          <w:b w:val="1"/>
          <w:sz w:val="24"/>
          <w:szCs w:val="24"/>
        </w:rPr>
      </w:pPr>
      <w:r w:rsidDel="00000000" w:rsidR="00000000" w:rsidRPr="00000000">
        <w:rPr>
          <w:rtl w:val="0"/>
        </w:rPr>
      </w:r>
    </w:p>
    <w:p w:rsidR="00000000" w:rsidDel="00000000" w:rsidP="00000000" w:rsidRDefault="00000000" w:rsidRPr="00000000" w14:paraId="0000001D">
      <w:pPr>
        <w:tabs>
          <w:tab w:val="left" w:leader="none" w:pos="711"/>
        </w:tabs>
        <w:spacing w:line="360" w:lineRule="auto"/>
        <w:rPr>
          <w:b w:val="1"/>
          <w:sz w:val="24"/>
          <w:szCs w:val="24"/>
        </w:rPr>
      </w:pPr>
      <w:r w:rsidDel="00000000" w:rsidR="00000000" w:rsidRPr="00000000">
        <w:rPr>
          <w:rtl w:val="0"/>
        </w:rPr>
      </w:r>
    </w:p>
    <w:p w:rsidR="00000000" w:rsidDel="00000000" w:rsidP="00000000" w:rsidRDefault="00000000" w:rsidRPr="00000000" w14:paraId="0000001E">
      <w:pPr>
        <w:tabs>
          <w:tab w:val="left" w:leader="none" w:pos="711"/>
        </w:tabs>
        <w:spacing w:line="360" w:lineRule="auto"/>
        <w:rPr>
          <w:b w:val="1"/>
          <w:sz w:val="24"/>
          <w:szCs w:val="24"/>
        </w:rPr>
      </w:pPr>
      <w:r w:rsidDel="00000000" w:rsidR="00000000" w:rsidRPr="00000000">
        <w:rPr>
          <w:rtl w:val="0"/>
        </w:rPr>
      </w:r>
    </w:p>
    <w:p w:rsidR="00000000" w:rsidDel="00000000" w:rsidP="00000000" w:rsidRDefault="00000000" w:rsidRPr="00000000" w14:paraId="0000001F">
      <w:pPr>
        <w:tabs>
          <w:tab w:val="left" w:leader="none" w:pos="711"/>
        </w:tabs>
        <w:spacing w:line="360" w:lineRule="auto"/>
        <w:rPr>
          <w:b w:val="1"/>
          <w:sz w:val="24"/>
          <w:szCs w:val="24"/>
        </w:rPr>
      </w:pPr>
      <w:r w:rsidDel="00000000" w:rsidR="00000000" w:rsidRPr="00000000">
        <w:rPr>
          <w:rtl w:val="0"/>
        </w:rPr>
      </w:r>
    </w:p>
    <w:p w:rsidR="00000000" w:rsidDel="00000000" w:rsidP="00000000" w:rsidRDefault="00000000" w:rsidRPr="00000000" w14:paraId="00000020">
      <w:pPr>
        <w:tabs>
          <w:tab w:val="left" w:leader="none" w:pos="711"/>
        </w:tabs>
        <w:spacing w:line="360" w:lineRule="auto"/>
        <w:jc w:val="center"/>
        <w:rPr>
          <w:b w:val="1"/>
          <w:sz w:val="28"/>
          <w:szCs w:val="28"/>
        </w:rPr>
      </w:pPr>
      <w:r w:rsidDel="00000000" w:rsidR="00000000" w:rsidRPr="00000000">
        <w:rPr>
          <w:b w:val="1"/>
          <w:sz w:val="28"/>
          <w:szCs w:val="28"/>
          <w:rtl w:val="0"/>
        </w:rPr>
        <w:t xml:space="preserve">ОДЕСА – 2024</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tabs>
          <w:tab w:val="left" w:leader="none" w:pos="548"/>
        </w:tabs>
        <w:spacing w:after="240" w:before="77" w:line="300" w:lineRule="auto"/>
        <w:ind w:left="547" w:hanging="272"/>
        <w:jc w:val="center"/>
        <w:rPr>
          <w:b w:val="1"/>
          <w:color w:val="000000"/>
          <w:sz w:val="24"/>
          <w:szCs w:val="24"/>
        </w:rPr>
      </w:pPr>
      <w:r w:rsidDel="00000000" w:rsidR="00000000" w:rsidRPr="00000000">
        <w:rPr>
          <w:b w:val="1"/>
          <w:color w:val="000000"/>
          <w:sz w:val="24"/>
          <w:szCs w:val="24"/>
          <w:rtl w:val="0"/>
        </w:rPr>
        <w:t xml:space="preserve">ЗАГАЛЬНІ </w:t>
      </w:r>
      <w:r w:rsidDel="00000000" w:rsidR="00000000" w:rsidRPr="00000000">
        <w:rPr>
          <w:b w:val="1"/>
          <w:sz w:val="24"/>
          <w:szCs w:val="24"/>
          <w:rtl w:val="0"/>
        </w:rPr>
        <w:t xml:space="preserve">ПОЛОЖЕННЯ</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34"/>
          <w:tab w:val="left" w:leader="none" w:pos="1593"/>
        </w:tabs>
        <w:spacing w:after="0" w:before="0" w:line="300" w:lineRule="auto"/>
        <w:ind w:left="792"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доступу до приміщень Одеської державної академії будівництва та архітектури (далі — Академії) осіб з обмеженими фізичними можливостями, громадян похилого віку, інших маломобільних гpyп населення (далі Порядок) розроблено з урахуванням заходів визначених державними будівельними нормами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України </w:t>
      </w:r>
      <w:hyperlink r:id="rId7">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ДБН В.2.2-40:2018 “Інклюзивність будівель і споруд “</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Законом   України   “Про основи соціальної захищеності осіб з інвалідністю в Україні“,</w:t>
        </w:r>
      </w:hyperlink>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1155cc"/>
            <w:sz w:val="24"/>
            <w:szCs w:val="24"/>
            <w:u w:val="single"/>
            <w:vertAlign w:val="baseline"/>
            <w:rtl w:val="0"/>
          </w:rPr>
          <w:t xml:space="preserve">розпорядженням Кабінету Міністрів України від 14 квітня 2021 р. № 366 “Про схвалення Національної стратегії із створення безбар’єрного простору в Україні на період до 2030 рокуˮ</w:t>
        </w:r>
      </w:hyperlink>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Конвенцією про права осіб інвалідністю</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 метою забезпечення реалізації державної політики щодо створення безперешкодного життєвого середовища для Осіб, що потребують допомоги на території Академії, забезпечення права таких осіб на безперешкодний доступ на територію Академії, зручності та комфортності перебування на території Академії, що потребують допомоги для створення умов для ведення незалежного способу життя i на рівні з усіма громадянами приймати участь у громадському, культурному житті суспільства тощо.</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34"/>
          <w:tab w:val="left" w:leader="none" w:pos="1593"/>
        </w:tabs>
        <w:spacing w:after="0" w:before="0" w:line="300" w:lineRule="auto"/>
        <w:ind w:left="792"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Цим Порядком визначається супровід (надання допомоги) осіб з обмеженими фізичними можливостями, громадян похилого віку, інших маломобільних гpyп населення під час перебування на території Одеської державної академії будівництва та архітектури.</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34"/>
          <w:tab w:val="left" w:leader="none" w:pos="1593"/>
        </w:tabs>
        <w:spacing w:after="0" w:before="0" w:line="300" w:lineRule="auto"/>
        <w:ind w:left="792"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оприлюднюється на офіційному веб-сайті Академії та розміщуються на інформаційному стенді на першому поверсі головного корпусу Академії.</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34"/>
          <w:tab w:val="left" w:leader="none" w:pos="1593"/>
        </w:tabs>
        <w:spacing w:after="0" w:before="0" w:line="300" w:lineRule="auto"/>
        <w:ind w:left="792"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Терміни, які використовуються в тексті цього Порядку визначаються</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Законом України «Про внесення змін до деяких законодавчих актів України» від 2249 - VIII від 19 грудня 2017 року вносяться зміни до 37 Законів України, в положеннях яких слова «інвалід», «дитина-інвалід» та «інвалід війни» змінено відповідно словами «особа з інвалідністю», «особа з інвалідністю з дитинства» та «особа з  інвалідністю внаслідок війни». Відповідно до ст.2 Закону України «Про основи  соціальної  захищеності осіб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 інвалідністю в Україні», особою з інвалідністю є особа зі стійким розладом  функцій організму, що при взаємодії із зовнішнім середовищем може призводити до обмеження її життєдіяльності, внаслідок чого держава зобов'язана створити умови для реалізації нею прав нарівні з іншими громадянами та забезпечити її соціальний захист.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0" w:firstLine="67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93"/>
        </w:tabs>
        <w:spacing w:after="0" w:before="0" w:line="30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маломобільні групи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населення (МГН)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особи, що відчувають труднощі при самостійному пересуванні, одержанні послуги, необхідної інформації a6o при орієнтуванні в просторі. До маломобільних груп населення віднесені особи з інвалідністю, особи з тимчасовим порушенням здоров'я, вагітні жінки, громадяни похилого віку, особи з дитячими візками тощо (ДБН B.2.2-40:2018 «Інклюзивність будівель i споруд»). </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особи, що потребують допомоги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особи з обмеженими фізичними  можливостями,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громадяни похилого віку, інші маломобільні групи населення.         </w:t>
      </w:r>
    </w:p>
    <w:p w:rsidR="00000000" w:rsidDel="00000000" w:rsidP="00000000" w:rsidRDefault="00000000" w:rsidRPr="00000000" w14:paraId="0000002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93"/>
        </w:tabs>
        <w:spacing w:after="0" w:before="0" w:line="30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територія Академії</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комплекс будівель, споруд та прибудинкової території за  адресою: вулиця Дідріхсона, 4, місто Одеса.</w:t>
      </w:r>
    </w:p>
    <w:p w:rsidR="00000000" w:rsidDel="00000000" w:rsidP="00000000" w:rsidRDefault="00000000" w:rsidRPr="00000000" w14:paraId="0000002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93"/>
        </w:tabs>
        <w:spacing w:after="0" w:before="0" w:line="30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відповідальна особа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посадова особа Академії на яку покладаються обов’язки, щодо забезпечення доступу до території Академії осіб з обмеженими фізичними можливостями, громадян похилого віку, які потребують додаткової допомоги, та інших маломобільних груп населення.</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1490"/>
          <w:tab w:val="left" w:leader="none" w:pos="1491"/>
          <w:tab w:val="left" w:leader="none" w:pos="3276"/>
          <w:tab w:val="left" w:leader="none" w:pos="5805"/>
          <w:tab w:val="left" w:leader="none" w:pos="8837"/>
        </w:tabs>
        <w:spacing w:after="240" w:before="218" w:line="300" w:lineRule="auto"/>
        <w:ind w:left="547" w:firstLine="0"/>
        <w:jc w:val="center"/>
        <w:rPr>
          <w:b w:val="1"/>
          <w:color w:val="000000"/>
          <w:sz w:val="24"/>
          <w:szCs w:val="24"/>
        </w:rPr>
      </w:pPr>
      <w:r w:rsidDel="00000000" w:rsidR="00000000" w:rsidRPr="00000000">
        <w:rPr>
          <w:b w:val="1"/>
          <w:color w:val="000000"/>
          <w:sz w:val="24"/>
          <w:szCs w:val="24"/>
          <w:rtl w:val="0"/>
        </w:rPr>
        <w:t xml:space="preserve">2. ПОРЯДОК ПЕРЕСУВАННЯ МАЛОМОБІЛЬНИХ ГРУП</w:t>
      </w:r>
    </w:p>
    <w:p w:rsidR="00000000" w:rsidDel="00000000" w:rsidP="00000000" w:rsidRDefault="00000000" w:rsidRPr="00000000" w14:paraId="0000002C">
      <w:pPr>
        <w:spacing w:after="240" w:before="151" w:line="300" w:lineRule="auto"/>
        <w:ind w:left="223" w:firstLine="0"/>
        <w:jc w:val="center"/>
        <w:rPr>
          <w:b w:val="1"/>
          <w:sz w:val="24"/>
          <w:szCs w:val="24"/>
        </w:rPr>
      </w:pPr>
      <w:r w:rsidDel="00000000" w:rsidR="00000000" w:rsidRPr="00000000">
        <w:rPr>
          <w:b w:val="1"/>
          <w:sz w:val="24"/>
          <w:szCs w:val="24"/>
          <w:rtl w:val="0"/>
        </w:rPr>
        <w:t xml:space="preserve">НАСЕЛЕННЯ І ОСІБ 3 ІНВАЛІДНІСТЮ В ПРИМІЩЕННІ AКAДEMIÏ</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1355"/>
        </w:tabs>
        <w:spacing w:after="240" w:before="0" w:line="300" w:lineRule="auto"/>
        <w:ind w:left="720" w:right="267"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Вхід до території Академії здійснюється через центральний вхід Академії (м. Одеса, вул. Дідріхсона,4). В окремих випадках доступ до території Академії здійснюється через ворота внутрішнього двору території Академії з боку вул. Композитора Ніщинського. Посадові особи Академії, що здійснюють цілодобове чергування по    Академії (в тому числі спостереження через зовнішні камери відеоспостереження), виявивши, що особа (ocoби), щo потребують допомоги, намагаються увійти на територію Академії невідкладно слідує до такої особи, дізнається про необхідність супроводу, а у разі необхідності — невідкладно зв’язується із відповідальною особою.</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1355"/>
        </w:tabs>
        <w:spacing w:after="240" w:before="0" w:line="300" w:lineRule="auto"/>
        <w:ind w:left="720" w:right="261"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Відповідальна особа зустрічає i супроводжує осіб, що потребують допомоги, а в разі виникнення надзвичайної ситуації, відповідає за евакуацію МГН i осіб з інвалідністю з території Академії. 3 питань, що стосуються ocoби з інвалідністю, важливо завжди пам'ятати, що потрібно звертатися безпосередньо до ЦІЄЇ людини, а не до особи, яка ïi супроводжує. Щоб звернути на себе увагу людини з вадами слуху, необхідно помахати рукою, a6o іншим чином привернути їхню увагу.</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1355"/>
        </w:tabs>
        <w:spacing w:after="240" w:before="0" w:line="300" w:lineRule="auto"/>
        <w:ind w:left="720" w:right="261"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 першочерговому</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порядку відповідальною особою уточнюється, якої допомоги потребує мало мобільна особа  a6o особа з інвалідністю, мета відвідування Академії, необхідність супроводу. Якщо</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особа, яка потребує допомоги відмовляється від пропозиції та не потребує допомоги відповідальної oсo6и</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забороняється нав’язувати свою допомогу. Забороняється торкатися осіб з інвалідністю чи ïx допоміжних засобів пересування без ïx дозволу.</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1355"/>
        </w:tabs>
        <w:spacing w:after="240" w:before="0" w:line="300" w:lineRule="auto"/>
        <w:ind w:left="720" w:right="261"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Необхідно бути терплячим з людьми, які мають труднощі в спілкуванні; не виправляти ïx; не закінчувати ïx речення замість них. В спілкуванні з особами з обмеженим слухом чи тими, то не чують, в нагоді інколи можуть стати ручка з папером.</w:t>
      </w:r>
    </w:p>
    <w:p w:rsidR="00000000" w:rsidDel="00000000" w:rsidP="00000000" w:rsidRDefault="00000000" w:rsidRPr="00000000" w14:paraId="0000003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134"/>
        </w:tabs>
        <w:spacing w:after="240" w:before="0" w:line="300" w:lineRule="auto"/>
        <w:ind w:left="720" w:right="272"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Необхідно використовувати чіткі, короткі речення. Якщо особа з інвалідністю не зрозуміла відповідальну особу, потрібно повторити щойно сказане a6o спробувати перефразувати речення. Деяким особам, що не чують a6o мають обмежений слух, може бути легше зрозуміти, якщо відповідальна особа також використовуватимете жестикуляцію руками, щоб пояснити напрям pyxy.</w:t>
      </w:r>
    </w:p>
    <w:p w:rsidR="00000000" w:rsidDel="00000000" w:rsidP="00000000" w:rsidRDefault="00000000" w:rsidRPr="00000000" w14:paraId="0000003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134"/>
        </w:tabs>
        <w:spacing w:after="240" w:before="0" w:line="300" w:lineRule="auto"/>
        <w:ind w:left="720" w:right="272"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Якщо допомоги відповідальної особи потребує користувач візка, спочатку необхідно запитати людину, куди вона хоче дістатись, а потім проінформувати про необхідність довезти iï. Забороняється нахилятись i спиратися на інвалідний візок чи на інший допоміжний засіб людини.</w:t>
      </w:r>
    </w:p>
    <w:p w:rsidR="00000000" w:rsidDel="00000000" w:rsidP="00000000" w:rsidRDefault="00000000" w:rsidRPr="00000000" w14:paraId="0000003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134"/>
        </w:tabs>
        <w:spacing w:after="240" w:before="0" w:line="300" w:lineRule="auto"/>
        <w:ind w:left="720" w:right="136"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 разі, якщо до відповідальної особи звернулась людина з порушенням зору, в першу чергу необхідно представитись, назвати прізвище, ім’я та по батькові, свою посаду, представити інших присутніх осіб, розповісти такій особі, де вона знаходиться. Під час супроводу такої людини необхідно запитати, чи хоче вона бути попередженою про сходи, двері та інші перешкоди. Якщо так,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то необхідно коментувати шлях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маршрут,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яким здійснюється пересування. Наприклад. "За декілька кроків ми повернемо ліворуч" чи "Ми підходимо до сходів". Коли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буде досягнуто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необхідного місця, потрібно повідомити людину, де вона знаходиться. Завжди відповідальній   особі необхідно говорити такій особі про своє наближення чи віддалення.</w:t>
      </w:r>
    </w:p>
    <w:p w:rsidR="00000000" w:rsidDel="00000000" w:rsidP="00000000" w:rsidRDefault="00000000" w:rsidRPr="00000000" w14:paraId="0000003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134"/>
        </w:tabs>
        <w:spacing w:after="240" w:before="0" w:line="300" w:lineRule="auto"/>
        <w:ind w:left="720" w:right="136"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разі необхідності, за погодженням із керівництвом Академії, відповідальна особа залучає інших працівників Академії до супроводу осіб, які потребують допомоги.</w:t>
      </w:r>
    </w:p>
    <w:p w:rsidR="00000000" w:rsidDel="00000000" w:rsidP="00000000" w:rsidRDefault="00000000" w:rsidRPr="00000000" w14:paraId="0000003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93"/>
          <w:tab w:val="left" w:leader="none" w:pos="1529"/>
        </w:tabs>
        <w:spacing w:after="240" w:before="0" w:line="300" w:lineRule="auto"/>
        <w:ind w:left="720" w:right="261"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 разі подання заяви до Академії, відповідальна особа приймає вхідну кореспонденцію у такої особи та передає на реєстрацію у встановленому порядку a6o за бажанням такого громадянина, супроводжує її до приймальні Академії i знайомить мало мобільного громадянина i особу з інвалідністю з працівником Академії, відповідальним за приймання вхідної кореспонденції, особисто, представивши прізвище, ім'я та по батькові один одному.</w:t>
      </w:r>
    </w:p>
    <w:p w:rsidR="00000000" w:rsidDel="00000000" w:rsidP="00000000" w:rsidRDefault="00000000" w:rsidRPr="00000000" w14:paraId="0000003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93"/>
          <w:tab w:val="left" w:leader="none" w:pos="1529"/>
        </w:tabs>
        <w:spacing w:after="240" w:before="0" w:line="300" w:lineRule="auto"/>
        <w:ind w:left="720" w:right="261"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Особи, які потребують допомоги користуються пріоритетним правом при наданні документів до загального відділу Академії.</w:t>
      </w:r>
    </w:p>
    <w:p w:rsidR="00000000" w:rsidDel="00000000" w:rsidP="00000000" w:rsidRDefault="00000000" w:rsidRPr="00000000" w14:paraId="0000003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93"/>
          <w:tab w:val="left" w:leader="none" w:pos="1529"/>
        </w:tabs>
        <w:spacing w:after="240" w:before="0" w:line="300" w:lineRule="auto"/>
        <w:ind w:left="720" w:right="261"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відвідуванні території Академії особами, які потребують допомоги, відповідальна особа роз’яснює правила внутрішнього та службового розпорядку Академії, а також години прийому громадян i розповідає про особливості будівель Академії: </w:t>
      </w:r>
    </w:p>
    <w:p w:rsidR="00000000" w:rsidDel="00000000" w:rsidP="00000000" w:rsidRDefault="00000000" w:rsidRPr="00000000" w14:paraId="0000003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29"/>
        </w:tabs>
        <w:spacing w:after="240" w:before="0" w:line="300" w:lineRule="auto"/>
        <w:ind w:left="567" w:right="261"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кількість поверхів; поручнів, інших пристосувань та пристроїв для осіб з інвалідністю стосовно його функціональним обмеженням; розташування санітарних кімнат, можливі перешкоди на шляху та ін.;</w:t>
      </w:r>
    </w:p>
    <w:p w:rsidR="00000000" w:rsidDel="00000000" w:rsidP="00000000" w:rsidRDefault="00000000" w:rsidRPr="00000000" w14:paraId="000000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29"/>
        </w:tabs>
        <w:spacing w:after="240" w:before="0" w:line="300" w:lineRule="auto"/>
        <w:ind w:left="567" w:right="261"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структуру Академії, в якому кабінеті i до кого звернутися з питань, які можуть виникнути.</w:t>
      </w:r>
    </w:p>
    <w:p w:rsidR="00000000" w:rsidDel="00000000" w:rsidP="00000000" w:rsidRDefault="00000000" w:rsidRPr="00000000" w14:paraId="0000003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76"/>
        </w:tabs>
        <w:spacing w:after="240" w:before="0" w:line="300" w:lineRule="auto"/>
        <w:ind w:left="720" w:right="261"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Після закінчення часу перебування   на території Академії осіб, які потребують допомоги, відповідальна особа супроводжує таких осіб до виходу з  тepитopiї Академії.</w:t>
      </w:r>
    </w:p>
    <w:p w:rsidR="00000000" w:rsidDel="00000000" w:rsidP="00000000" w:rsidRDefault="00000000" w:rsidRPr="00000000" w14:paraId="0000003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76"/>
        </w:tabs>
        <w:spacing w:after="240" w:before="0" w:line="300" w:lineRule="auto"/>
        <w:ind w:left="720" w:right="261"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необхідності особи, які потребують допомоги можуть заздалегідь погодити з відповідальною особою за телефоном необхідний обсяг допомоги при організації доступу в приміщення Академії із зазначенням дати та часу прибуття  a6o направити на електронну пошту Академії відповідний запит.</w:t>
      </w:r>
    </w:p>
    <w:p w:rsidR="00000000" w:rsidDel="00000000" w:rsidP="00000000" w:rsidRDefault="00000000" w:rsidRPr="00000000" w14:paraId="0000003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76"/>
        </w:tabs>
        <w:spacing w:after="240" w:before="0" w:line="300" w:lineRule="auto"/>
        <w:ind w:left="720" w:right="261"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Відповідальна    особа   Академії    за   погодженням    з   особами,   які потребують   допомоги, вправі надати інші види допомоги по супроводу, не передбачені цим Порядком.</w:t>
      </w:r>
    </w:p>
    <w:sectPr>
      <w:pgSz w:h="16840" w:w="11910"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47" w:hanging="271"/>
      </w:pPr>
      <w:rPr>
        <w:b w:val="1"/>
        <w:color w:val="000000"/>
      </w:rPr>
    </w:lvl>
    <w:lvl w:ilvl="1">
      <w:start w:val="1"/>
      <w:numFmt w:val="decimal"/>
      <w:lvlText w:val="%1.%2."/>
      <w:lvlJc w:val="left"/>
      <w:pPr>
        <w:ind w:left="571" w:hanging="571"/>
      </w:pPr>
      <w:rPr/>
    </w:lvl>
    <w:lvl w:ilvl="2">
      <w:start w:val="2"/>
      <w:numFmt w:val="decimal"/>
      <w:lvlText w:val="%1.%2.%3."/>
      <w:lvlJc w:val="left"/>
      <w:pPr>
        <w:ind w:left="132" w:hanging="729"/>
      </w:pPr>
      <w:rPr/>
    </w:lvl>
    <w:lvl w:ilvl="3">
      <w:start w:val="0"/>
      <w:numFmt w:val="bullet"/>
      <w:lvlText w:val="•"/>
      <w:lvlJc w:val="left"/>
      <w:pPr>
        <w:ind w:left="540" w:hanging="729"/>
      </w:pPr>
      <w:rPr/>
    </w:lvl>
    <w:lvl w:ilvl="4">
      <w:start w:val="0"/>
      <w:numFmt w:val="bullet"/>
      <w:lvlText w:val="•"/>
      <w:lvlJc w:val="left"/>
      <w:pPr>
        <w:ind w:left="1858" w:hanging="729"/>
      </w:pPr>
      <w:rPr/>
    </w:lvl>
    <w:lvl w:ilvl="5">
      <w:start w:val="0"/>
      <w:numFmt w:val="bullet"/>
      <w:lvlText w:val="•"/>
      <w:lvlJc w:val="left"/>
      <w:pPr>
        <w:ind w:left="3176" w:hanging="729"/>
      </w:pPr>
      <w:rPr/>
    </w:lvl>
    <w:lvl w:ilvl="6">
      <w:start w:val="0"/>
      <w:numFmt w:val="bullet"/>
      <w:lvlText w:val="•"/>
      <w:lvlJc w:val="left"/>
      <w:pPr>
        <w:ind w:left="4494" w:hanging="729"/>
      </w:pPr>
      <w:rPr/>
    </w:lvl>
    <w:lvl w:ilvl="7">
      <w:start w:val="0"/>
      <w:numFmt w:val="bullet"/>
      <w:lvlText w:val="•"/>
      <w:lvlJc w:val="left"/>
      <w:pPr>
        <w:ind w:left="5812" w:hanging="728"/>
      </w:pPr>
      <w:rPr/>
    </w:lvl>
    <w:lvl w:ilvl="8">
      <w:start w:val="0"/>
      <w:numFmt w:val="bullet"/>
      <w:lvlText w:val="•"/>
      <w:lvlJc w:val="left"/>
      <w:pPr>
        <w:ind w:left="7130" w:hanging="729"/>
      </w:pPr>
      <w:rPr/>
    </w:lvl>
  </w:abstractNum>
  <w:abstractNum w:abstractNumId="2">
    <w:lvl w:ilvl="0">
      <w:start w:val="1"/>
      <w:numFmt w:val="decimal"/>
      <w:lvlText w:val="1.%1."/>
      <w:lvlJc w:val="left"/>
      <w:pPr>
        <w:ind w:left="567" w:hanging="207"/>
      </w:pPr>
      <w:rPr>
        <w:rFonts w:ascii="Times New Roman" w:cs="Times New Roman" w:eastAsia="Times New Roman" w:hAnsi="Times New Roman"/>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2.%1."/>
      <w:lvlJc w:val="left"/>
      <w:pPr>
        <w:ind w:left="720" w:hanging="360"/>
      </w:pPr>
      <w:rPr>
        <w:rFonts w:ascii="Times New Roman" w:cs="Times New Roman" w:eastAsia="Times New Roman" w:hAnsi="Times New Roman"/>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2.3.%1."/>
      <w:lvlJc w:val="left"/>
      <w:pPr>
        <w:ind w:left="720" w:hanging="360"/>
      </w:pPr>
      <w:rPr>
        <w:rFonts w:ascii="Times New Roman" w:cs="Times New Roman" w:eastAsia="Times New Roman" w:hAnsi="Times New Roman"/>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4"/>
      <w:numFmt w:val="decimal"/>
      <w:lvlText w:val="2.%1."/>
      <w:lvlJc w:val="left"/>
      <w:pPr>
        <w:ind w:left="720" w:hanging="360"/>
      </w:pPr>
      <w:rPr>
        <w:rFonts w:ascii="Times New Roman" w:cs="Times New Roman" w:eastAsia="Times New Roman" w:hAnsi="Times New Roman"/>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86" w:line="397" w:lineRule="auto"/>
      <w:ind w:left="2140" w:right="2043"/>
      <w:jc w:val="center"/>
    </w:pPr>
    <w:rPr>
      <w:sz w:val="35"/>
      <w:szCs w:val="35"/>
    </w:rPr>
  </w:style>
  <w:style w:type="paragraph" w:styleId="a" w:default="1">
    <w:name w:val="Normal"/>
    <w:uiPriority w:val="1"/>
    <w:qFormat w:val="1"/>
    <w:rsid w:val="00C84440"/>
    <w:pPr>
      <w:autoSpaceDE w:val="0"/>
      <w:autoSpaceDN w:val="0"/>
    </w:p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link w:val="a4"/>
    <w:uiPriority w:val="1"/>
    <w:qFormat w:val="1"/>
    <w:rsid w:val="00727056"/>
    <w:pPr>
      <w:spacing w:before="86" w:line="397" w:lineRule="exact"/>
      <w:ind w:left="2140" w:right="2043"/>
      <w:jc w:val="center"/>
    </w:pPr>
    <w:rPr>
      <w:sz w:val="35"/>
      <w:szCs w:val="35"/>
    </w:rPr>
  </w:style>
  <w:style w:type="paragraph" w:styleId="a5">
    <w:name w:val="Body Text"/>
    <w:basedOn w:val="a"/>
    <w:link w:val="a6"/>
    <w:uiPriority w:val="1"/>
    <w:qFormat w:val="1"/>
    <w:rsid w:val="00727056"/>
    <w:rPr>
      <w:sz w:val="27"/>
      <w:szCs w:val="27"/>
    </w:rPr>
  </w:style>
  <w:style w:type="character" w:styleId="a6" w:customStyle="1">
    <w:name w:val="Основной текст Знак"/>
    <w:basedOn w:val="a0"/>
    <w:link w:val="a5"/>
    <w:uiPriority w:val="1"/>
    <w:rsid w:val="00727056"/>
    <w:rPr>
      <w:rFonts w:ascii="Times New Roman" w:cs="Times New Roman" w:eastAsia="Times New Roman" w:hAnsi="Times New Roman"/>
      <w:sz w:val="27"/>
      <w:szCs w:val="27"/>
      <w:lang w:val="uk-UA"/>
    </w:rPr>
  </w:style>
  <w:style w:type="character" w:styleId="a4" w:customStyle="1">
    <w:name w:val="Название Знак"/>
    <w:basedOn w:val="a0"/>
    <w:link w:val="a3"/>
    <w:uiPriority w:val="1"/>
    <w:rsid w:val="00727056"/>
    <w:rPr>
      <w:rFonts w:ascii="Times New Roman" w:cs="Times New Roman" w:eastAsia="Times New Roman" w:hAnsi="Times New Roman"/>
      <w:sz w:val="35"/>
      <w:szCs w:val="35"/>
      <w:lang w:val="uk-UA"/>
    </w:rPr>
  </w:style>
  <w:style w:type="paragraph" w:styleId="a7">
    <w:name w:val="List Paragraph"/>
    <w:basedOn w:val="a"/>
    <w:uiPriority w:val="1"/>
    <w:qFormat w:val="1"/>
    <w:rsid w:val="00727056"/>
    <w:pPr>
      <w:ind w:left="132" w:firstLine="677"/>
      <w:jc w:val="both"/>
    </w:pPr>
  </w:style>
  <w:style w:type="paragraph" w:styleId="a8">
    <w:name w:val="Subtitle"/>
    <w:basedOn w:val="a"/>
    <w:next w:val="a"/>
    <w:pPr>
      <w:keepNext w:val="1"/>
      <w:keepLines w:val="1"/>
      <w:spacing w:after="80" w:before="360"/>
    </w:pPr>
    <w:rPr>
      <w:rFonts w:ascii="Georgia" w:cs="Georgia" w:eastAsia="Georgia" w:hAnsi="Georgia"/>
      <w:i w:val="1"/>
      <w:color w:val="666666"/>
      <w:sz w:val="48"/>
      <w:szCs w:val="48"/>
    </w:rPr>
  </w:style>
  <w:style w:type="table" w:styleId="a9" w:customStyle="1">
    <w:basedOn w:val="TableNormal"/>
    <w:tblPr>
      <w:tblStyleRowBandSize w:val="1"/>
      <w:tblStyleColBandSize w:val="1"/>
      <w:tblCellMar>
        <w:top w:w="0.0" w:type="dxa"/>
        <w:left w:w="115.0" w:type="dxa"/>
        <w:bottom w:w="0.0" w:type="dxa"/>
        <w:right w:w="115.0" w:type="dxa"/>
      </w:tblCellMar>
    </w:tblPr>
  </w:style>
  <w:style w:type="table" w:styleId="aa"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zakon.rada.gov.ua/laws/show/995_g71#Text" TargetMode="External"/><Relationship Id="rId9" Type="http://schemas.openxmlformats.org/officeDocument/2006/relationships/hyperlink" Target="https://zakon.rada.gov.ua/laws/show/366-2021-%D1%80#Tex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bn.co.ua/load/normativy/dbn/dbn_v_2_2_40/1-1-0-1832" TargetMode="External"/><Relationship Id="rId8" Type="http://schemas.openxmlformats.org/officeDocument/2006/relationships/hyperlink" Target="https://zakon.rada.gov.ua/laws/show/en/875-12/ed20120101?lang=uk#Tex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U+/zYuFOVqQ3gia7DTMiwG7Hg==">CgMxLjAyCWguMzBqMHpsbDgAciExYnpsV0J6R2U5SWpYZm1jOVZ0T1loLTVJUk8zb0w4Z0E=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2024-11-11T12:49:00Z</dcterms:created>
  <dc:creator>DNA7 X86</dc:creator>
</cp:coreProperties>
</file>