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11"/>
        </w:tabs>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МІНІСТЕРСТВО ОСВІТИ І НАУКИ УКРАЇНИ</w:t>
      </w:r>
    </w:p>
    <w:p w:rsidR="00000000" w:rsidDel="00000000" w:rsidP="00000000" w:rsidRDefault="00000000" w:rsidRPr="00000000" w14:paraId="00000002">
      <w:pPr>
        <w:tabs>
          <w:tab w:val="left" w:leader="none" w:pos="711"/>
        </w:tabs>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Одеська державна академія будівництва та архітектури</w:t>
      </w:r>
    </w:p>
    <w:p w:rsidR="00000000" w:rsidDel="00000000" w:rsidP="00000000" w:rsidRDefault="00000000" w:rsidRPr="00000000" w14:paraId="00000003">
      <w:pPr>
        <w:tabs>
          <w:tab w:val="left" w:leader="none" w:pos="711"/>
        </w:tabs>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tabs>
          <w:tab w:val="left" w:leader="none" w:pos="711"/>
        </w:tabs>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tabs>
          <w:tab w:val="left" w:leader="none" w:pos="711"/>
        </w:tabs>
        <w:spacing w:line="36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9765.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60"/>
        <w:gridCol w:w="4605"/>
        <w:tblGridChange w:id="0">
          <w:tblGrid>
            <w:gridCol w:w="5160"/>
            <w:gridCol w:w="4605"/>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tabs>
                <w:tab w:val="left" w:leader="none" w:pos="711"/>
              </w:tabs>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tabs>
                <w:tab w:val="left" w:leader="none" w:pos="711"/>
              </w:tabs>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tabs>
                <w:tab w:val="left" w:leader="none" w:pos="711"/>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ЗАТВЕРДЖУЮ</w:t>
            </w:r>
            <w:r w:rsidDel="00000000" w:rsidR="00000000" w:rsidRPr="00000000">
              <w:rPr>
                <w:rtl w:val="0"/>
              </w:rPr>
            </w:r>
          </w:p>
          <w:p w:rsidR="00000000" w:rsidDel="00000000" w:rsidP="00000000" w:rsidRDefault="00000000" w:rsidRPr="00000000" w14:paraId="00000009">
            <w:pPr>
              <w:tabs>
                <w:tab w:val="left" w:leader="none" w:pos="711"/>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Ректор </w:t>
            </w:r>
          </w:p>
          <w:p w:rsidR="00000000" w:rsidDel="00000000" w:rsidP="00000000" w:rsidRDefault="00000000" w:rsidRPr="00000000" w14:paraId="0000000A">
            <w:pPr>
              <w:tabs>
                <w:tab w:val="left" w:leader="none" w:pos="711"/>
              </w:tabs>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Анатолій КОВРОВ</w:t>
            </w:r>
          </w:p>
          <w:p w:rsidR="00000000" w:rsidDel="00000000" w:rsidP="00000000" w:rsidRDefault="00000000" w:rsidRPr="00000000" w14:paraId="0000000B">
            <w:pPr>
              <w:tabs>
                <w:tab w:val="left" w:leader="none" w:pos="711"/>
              </w:tabs>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 __________________</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2024 р.</w:t>
            </w:r>
          </w:p>
        </w:tc>
      </w:tr>
    </w:tbl>
    <w:p w:rsidR="00000000" w:rsidDel="00000000" w:rsidP="00000000" w:rsidRDefault="00000000" w:rsidRPr="00000000" w14:paraId="0000000C">
      <w:pPr>
        <w:tabs>
          <w:tab w:val="left" w:leader="none" w:pos="711"/>
        </w:tabs>
        <w:spacing w:line="36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tabs>
          <w:tab w:val="left" w:leader="none" w:pos="711"/>
        </w:tabs>
        <w:spacing w:line="36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tabs>
          <w:tab w:val="left" w:leader="none" w:pos="711"/>
        </w:tabs>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ПРОЄКТ</w:t>
      </w:r>
    </w:p>
    <w:p w:rsidR="00000000" w:rsidDel="00000000" w:rsidP="00000000" w:rsidRDefault="00000000" w:rsidRPr="00000000" w14:paraId="0000000F">
      <w:pPr>
        <w:tabs>
          <w:tab w:val="left" w:leader="none" w:pos="711"/>
        </w:tabs>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ПОЛОЖЕННЯ </w:t>
      </w:r>
    </w:p>
    <w:p w:rsidR="00000000" w:rsidDel="00000000" w:rsidP="00000000" w:rsidRDefault="00000000" w:rsidRPr="00000000" w14:paraId="00000010">
      <w:pPr>
        <w:tabs>
          <w:tab w:val="left" w:leader="none" w:pos="711"/>
        </w:tabs>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 ВРЕГУЛЮВАННЯ КОНФЛІКТНИХ СИТУАЦІЙ</w:t>
      </w:r>
    </w:p>
    <w:p w:rsidR="00000000" w:rsidDel="00000000" w:rsidP="00000000" w:rsidRDefault="00000000" w:rsidRPr="00000000" w14:paraId="00000011">
      <w:pPr>
        <w:tabs>
          <w:tab w:val="left" w:leader="none" w:pos="711"/>
        </w:tabs>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2">
      <w:pPr>
        <w:tabs>
          <w:tab w:val="left" w:leader="none" w:pos="711"/>
        </w:tabs>
        <w:spacing w:line="36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2"/>
        <w:tblW w:w="10140.0" w:type="dxa"/>
        <w:jc w:val="left"/>
        <w:tblInd w:w="-160.0" w:type="dxa"/>
        <w:tblLayout w:type="fixed"/>
        <w:tblLook w:val="0000"/>
      </w:tblPr>
      <w:tblGrid>
        <w:gridCol w:w="5033"/>
        <w:gridCol w:w="5107"/>
        <w:tblGridChange w:id="0">
          <w:tblGrid>
            <w:gridCol w:w="5033"/>
            <w:gridCol w:w="5107"/>
          </w:tblGrid>
        </w:tblGridChange>
      </w:tblGrid>
      <w:tr>
        <w:trPr>
          <w:cantSplit w:val="0"/>
          <w:trHeight w:val="2842" w:hRule="atLeast"/>
          <w:tblHeader w:val="0"/>
        </w:trPr>
        <w:tc>
          <w:tcPr/>
          <w:p w:rsidR="00000000" w:rsidDel="00000000" w:rsidP="00000000" w:rsidRDefault="00000000" w:rsidRPr="00000000" w14:paraId="00000013">
            <w:pPr>
              <w:tabs>
                <w:tab w:val="left" w:leader="none" w:pos="711"/>
              </w:tabs>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tabs>
                <w:tab w:val="left" w:leader="none" w:pos="711"/>
              </w:tabs>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p w:rsidR="00000000" w:rsidDel="00000000" w:rsidP="00000000" w:rsidRDefault="00000000" w:rsidRPr="00000000" w14:paraId="00000015">
            <w:pPr>
              <w:tabs>
                <w:tab w:val="left" w:leader="none" w:pos="711"/>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СХВАЛЕНО </w:t>
            </w:r>
          </w:p>
          <w:p w:rsidR="00000000" w:rsidDel="00000000" w:rsidP="00000000" w:rsidRDefault="00000000" w:rsidRPr="00000000" w14:paraId="00000016">
            <w:pPr>
              <w:tabs>
                <w:tab w:val="left" w:leader="none" w:pos="71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Вченою радою </w:t>
            </w:r>
          </w:p>
          <w:p w:rsidR="00000000" w:rsidDel="00000000" w:rsidP="00000000" w:rsidRDefault="00000000" w:rsidRPr="00000000" w14:paraId="00000017">
            <w:pPr>
              <w:tabs>
                <w:tab w:val="left" w:leader="none" w:pos="71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Одеської державної академії будівництва та архітектури </w:t>
            </w:r>
          </w:p>
          <w:p w:rsidR="00000000" w:rsidDel="00000000" w:rsidP="00000000" w:rsidRDefault="00000000" w:rsidRPr="00000000" w14:paraId="00000018">
            <w:pPr>
              <w:tabs>
                <w:tab w:val="left" w:leader="none" w:pos="711"/>
              </w:tabs>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sz w:val="24"/>
                <w:szCs w:val="24"/>
                <w:rtl w:val="0"/>
              </w:rPr>
              <w:t xml:space="preserve">Протокол №   від            2024 р. </w:t>
            </w:r>
            <w:r w:rsidDel="00000000" w:rsidR="00000000" w:rsidRPr="00000000">
              <w:rPr>
                <w:rtl w:val="0"/>
              </w:rPr>
            </w:r>
          </w:p>
          <w:p w:rsidR="00000000" w:rsidDel="00000000" w:rsidP="00000000" w:rsidRDefault="00000000" w:rsidRPr="00000000" w14:paraId="00000019">
            <w:pPr>
              <w:tabs>
                <w:tab w:val="left" w:leader="none" w:pos="711"/>
              </w:tabs>
              <w:spacing w:line="360" w:lineRule="auto"/>
              <w:rPr>
                <w:rFonts w:ascii="Times New Roman" w:cs="Times New Roman" w:eastAsia="Times New Roman" w:hAnsi="Times New Roman"/>
                <w:color w:val="ffffff"/>
                <w:sz w:val="24"/>
                <w:szCs w:val="24"/>
              </w:rPr>
            </w:pPr>
            <w:r w:rsidDel="00000000" w:rsidR="00000000" w:rsidRPr="00000000">
              <w:rPr>
                <w:rtl w:val="0"/>
              </w:rPr>
            </w:r>
          </w:p>
          <w:p w:rsidR="00000000" w:rsidDel="00000000" w:rsidP="00000000" w:rsidRDefault="00000000" w:rsidRPr="00000000" w14:paraId="0000001A">
            <w:pPr>
              <w:tabs>
                <w:tab w:val="left" w:leader="none" w:pos="711"/>
              </w:tabs>
              <w:spacing w:line="360" w:lineRule="auto"/>
              <w:rPr>
                <w:rFonts w:ascii="Times New Roman" w:cs="Times New Roman" w:eastAsia="Times New Roman" w:hAnsi="Times New Roman"/>
                <w:color w:val="ffffff"/>
                <w:sz w:val="24"/>
                <w:szCs w:val="24"/>
              </w:rPr>
            </w:pPr>
            <w:r w:rsidDel="00000000" w:rsidR="00000000" w:rsidRPr="00000000">
              <w:rPr>
                <w:rtl w:val="0"/>
              </w:rPr>
            </w:r>
          </w:p>
          <w:p w:rsidR="00000000" w:rsidDel="00000000" w:rsidP="00000000" w:rsidRDefault="00000000" w:rsidRPr="00000000" w14:paraId="0000001B">
            <w:pPr>
              <w:tabs>
                <w:tab w:val="left" w:leader="none" w:pos="711"/>
              </w:tabs>
              <w:spacing w:line="360" w:lineRule="auto"/>
              <w:rPr>
                <w:rFonts w:ascii="Times New Roman" w:cs="Times New Roman" w:eastAsia="Times New Roman" w:hAnsi="Times New Roman"/>
                <w:color w:val="ffffff"/>
                <w:sz w:val="24"/>
                <w:szCs w:val="24"/>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1C">
      <w:pPr>
        <w:tabs>
          <w:tab w:val="left" w:leader="none" w:pos="711"/>
        </w:tabs>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ОДЕСА – 2024</w:t>
      </w:r>
    </w:p>
    <w:p w:rsidR="00000000" w:rsidDel="00000000" w:rsidP="00000000" w:rsidRDefault="00000000" w:rsidRPr="00000000" w14:paraId="0000001D">
      <w:pPr>
        <w:pStyle w:val="Heading1"/>
        <w:spacing w:before="60" w:lineRule="auto"/>
        <w:ind w:left="2188" w:right="1835" w:firstLine="0"/>
        <w:jc w:val="center"/>
        <w:rPr>
          <w:sz w:val="24"/>
          <w:szCs w:val="24"/>
        </w:rPr>
      </w:pPr>
      <w:r w:rsidDel="00000000" w:rsidR="00000000" w:rsidRPr="00000000">
        <w:rPr>
          <w:sz w:val="24"/>
          <w:szCs w:val="24"/>
          <w:rtl w:val="0"/>
        </w:rPr>
        <w:t xml:space="preserve">І. ЗАГАЛЬНІ ПОЛОЖЕННЯ</w:t>
      </w:r>
    </w:p>
    <w:p w:rsidR="00000000" w:rsidDel="00000000" w:rsidP="00000000" w:rsidRDefault="00000000" w:rsidRPr="00000000" w14:paraId="0000001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95"/>
        </w:tabs>
        <w:spacing w:after="0" w:before="163" w:line="360" w:lineRule="auto"/>
        <w:ind w:left="466" w:right="114" w:firstLine="6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Положення розроблене відповідно до Закону України </w:t>
      </w:r>
      <w:hyperlink r:id="rId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«Про вищу освіту»</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Про освіту</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Закону України «Про запобігання корупції» від 14.10.2014 р. №1700-VII, Закону України «Про засади запобігання та протидії дискримінації в Україні» від 06.09.2012 р. № 5207-VI, Закону України «Про забезпечення рівних прав та можливостей жінок і чоловіків» від 08.09.2005 р. № 2866-IV та інших актів чинного законодавства України.</w:t>
      </w:r>
    </w:p>
    <w:p w:rsidR="00000000" w:rsidDel="00000000" w:rsidP="00000000" w:rsidRDefault="00000000" w:rsidRPr="00000000" w14:paraId="0000001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69"/>
        </w:tabs>
        <w:spacing w:after="0" w:before="0" w:line="360" w:lineRule="auto"/>
        <w:ind w:left="466" w:right="114" w:firstLine="6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своїй діяльності Одеська державна академія будівництва та архітектури (далі - Академія) дотримується законодавства України в сфері виявлення, протидії та запобігання корупції, забезпечення гендерної рівності, протидії дискримінації та сексуальним домаганням. Академія засуджує корупцію, дискримінацію, сексуальні домагання на робочому місці та в освітньому процесі, та зобов'язується сприяти протидії цим явищам.</w:t>
      </w:r>
    </w:p>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69"/>
        </w:tabs>
        <w:spacing w:after="0" w:before="0" w:line="360" w:lineRule="auto"/>
        <w:ind w:left="466" w:right="114" w:firstLine="6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Положення про врегулювання конфліктних ситуацій в Одеській державній академії будівництва та архітектури (далі - Академії) застосовується під час працевлаштування, трудових відносин, оплати праці, освітнього процесу в Академії.</w:t>
      </w:r>
    </w:p>
    <w:p w:rsidR="00000000" w:rsidDel="00000000" w:rsidP="00000000" w:rsidRDefault="00000000" w:rsidRPr="00000000" w14:paraId="0000002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7"/>
        </w:tabs>
        <w:spacing w:after="0" w:before="0" w:line="320" w:lineRule="auto"/>
        <w:ind w:left="1606" w:right="0" w:hanging="52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цілей даного документу використовуються наступні терміни:</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160" w:line="360" w:lineRule="auto"/>
        <w:ind w:left="466"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конфлікт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зіткнення протилежних інтересів і поглядів, напруження і крайнє загострення суперечностей, що приводить до активних дій, ускладнень, боротьби, що супроводжуються складними колізіями; ситуація, в якій кожна зі сторін намагається зайняти позицію несумісну з інтересами іншої сторони;</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0" w:line="362" w:lineRule="auto"/>
        <w:ind w:left="466"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конфліктна ситуація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ситуація, що об'єктивно містить явні передумови для конфлікту, провокуюча ворожі дії, конфлікт;</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0" w:line="360" w:lineRule="auto"/>
        <w:ind w:left="466"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корупційне правопорушення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діяння, що містить ознаки корупції, вчинене особою, зазначеною у частині 1 статті 3 Закону України «Про запобігання корупції», за яке законом встановлено кримінальну, дисциплінарну та/або цивільно-правову відповідальність;</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0" w:line="240" w:lineRule="auto"/>
        <w:ind w:left="466"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корупція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використання особою, зазначеною у частині 1 статті 3 Закону України</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40" w:lineRule="auto"/>
        <w:ind w:left="4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запобігання корупції», наданих їй службових повноважень чи пов'язаних з</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467"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1 статті 3 Закону України «Про запобігання корупції»,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8"/>
        </w:tabs>
        <w:spacing w:after="0" w:before="1" w:line="360" w:lineRule="auto"/>
        <w:ind w:left="467" w:right="11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дискримінація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ситуація, за якої особа та/або група осіб за їх ознаками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мовними або іншими ознаками, які були, є та можуть бути дійсними або припущеними, зазнає обмеження у визнанні, реалізації або користуванні правами і свободами в будь-якій формі, встановленій Законом України «Про засади запобігання та протидії дискримінації в Україні», крім випадків, коли таке обмеження має правомірну, об'єктивно обґрунтовану мету, способи досягнення  якої є належними та необхідними;</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0" w:line="360" w:lineRule="auto"/>
        <w:ind w:left="466"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сексуальні домагання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дії сексуального характеру, виражені словесно (погрози, залякування, непристойні/небажані пропозиції та/або зауваження, жарти, повідомлення та листи, демонстрація зображень тощо) або фізично (небажані доторкання та поплескування тощо), що принижують чи ображають особу, яка перебуває у відносинах трудового, службового, матеріального, освітнього чи іншого підпорядкування.</w:t>
      </w:r>
    </w:p>
    <w:p w:rsidR="00000000" w:rsidDel="00000000" w:rsidP="00000000" w:rsidRDefault="00000000" w:rsidRPr="00000000" w14:paraId="0000002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43"/>
        </w:tabs>
        <w:spacing w:after="0" w:before="0" w:line="360" w:lineRule="auto"/>
        <w:ind w:left="466" w:right="113" w:firstLine="6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метою попередження конфліктних ситуацій, запобігання та протидії корупції в Академії затверджена Антикорупційна програма, яка є комплексом правил, стандартів і процедур щодо виявлення, протидії та запобігання корупції у діяльності юридичної особи.</w:t>
      </w:r>
    </w:p>
    <w:p w:rsidR="00000000" w:rsidDel="00000000" w:rsidP="00000000" w:rsidRDefault="00000000" w:rsidRPr="00000000" w14:paraId="0000002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48"/>
        </w:tabs>
        <w:spacing w:after="0" w:before="0" w:line="360" w:lineRule="auto"/>
        <w:ind w:left="467" w:right="113" w:firstLine="61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Адміністрація та керівництво структурних підрозділів Академії зобов'язані проводити внутрішні інформаційні та просвітницькі кампанії, спрямовані на підвищення рівня обізнаності трудового колективу та студентства щодо попередження конфліктних ситуацій, включаючи пов'язаних із сексуальними домаганнями, дискримінацією та корупцією.</w:t>
      </w:r>
    </w:p>
    <w:p w:rsidR="00000000" w:rsidDel="00000000" w:rsidP="00000000" w:rsidRDefault="00000000" w:rsidRPr="00000000" w14:paraId="0000002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48"/>
        </w:tabs>
        <w:spacing w:after="0" w:before="0" w:line="360" w:lineRule="auto"/>
        <w:ind w:left="467" w:right="113" w:firstLine="61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Застосування даного Положення не виключає можливість застосування  норм чинного законодавства щодо захисту особою її прав.</w:t>
      </w:r>
    </w:p>
    <w:p w:rsidR="00000000" w:rsidDel="00000000" w:rsidP="00000000" w:rsidRDefault="00000000" w:rsidRPr="00000000" w14:paraId="0000002D">
      <w:pPr>
        <w:tabs>
          <w:tab w:val="left" w:leader="none" w:pos="1543"/>
        </w:tabs>
        <w:spacing w:after="0" w:line="360" w:lineRule="auto"/>
        <w:ind w:left="467"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II.ЗАГАЛЬНІ ЗАСАДИ ЗАПОБІГАННЯ КОНФЛІКТНИМ СИТУАЦІЯМ</w:t>
      </w:r>
    </w:p>
    <w:p w:rsidR="00000000" w:rsidDel="00000000" w:rsidP="00000000" w:rsidRDefault="00000000" w:rsidRPr="00000000" w14:paraId="0000002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55"/>
        </w:tabs>
        <w:spacing w:after="0" w:before="0" w:line="362" w:lineRule="auto"/>
        <w:ind w:left="467" w:right="115" w:firstLine="61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метою попередження конфліктних ситуацій, запобігання дискримінації та сексуальним домаганням в Академії заборонені:</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8"/>
        </w:tabs>
        <w:spacing w:after="0" w:before="0" w:line="360" w:lineRule="auto"/>
        <w:ind w:left="467"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дискримінаційні висловлювання (які містять образливі, принижуючі твердження щодо осіб на підставі статі, зовнішності, одягу, сексуальної орієнтації тощо);</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8"/>
        </w:tabs>
        <w:spacing w:after="0" w:before="0" w:line="360" w:lineRule="auto"/>
        <w:ind w:left="467" w:right="11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утиски (небажана для особи та/або групи осіб поведінка, метою або наслідком якої є приниження їхньої людської гідності за певними ознаками або створення стосовно такої особи чи групи осіб напруженої, ворожої, образливої або зневажливої атмосфери);</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0" w:line="360" w:lineRule="auto"/>
        <w:ind w:left="466"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мова ненависті (висловлювання, що містять образи, погрози чи заклики до насильства щодо певної особи чи груп) на підставі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мови або інших ознак.</w:t>
      </w:r>
    </w:p>
    <w:p w:rsidR="00000000" w:rsidDel="00000000" w:rsidP="00000000" w:rsidRDefault="00000000" w:rsidRPr="00000000" w14:paraId="0000003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7"/>
        </w:tabs>
        <w:spacing w:after="0" w:before="0" w:line="362" w:lineRule="auto"/>
        <w:ind w:left="466" w:right="117" w:firstLine="6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Задля запобігання виникненню конфліктних ситуацій у власних онлайн і друкованих матеріалах, а також публічних висловлюваннях працівників Академії:</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8"/>
        </w:tabs>
        <w:spacing w:after="0" w:before="0" w:line="360" w:lineRule="auto"/>
        <w:ind w:left="467" w:right="10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забороняється вживання дискримінаційної лексики, дискримінаційних висловлювань та мови ненависті (стосовно осіб чи групи осіб на основі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мовними або іншими ознаками);</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8"/>
        </w:tabs>
        <w:spacing w:after="0" w:before="0" w:line="360" w:lineRule="auto"/>
        <w:ind w:left="467"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заохочується (у випадку доречності) наголошення на важливості принципів гендерної рівності та недискримінації, запобігання корупції;</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8"/>
        </w:tabs>
        <w:spacing w:after="0" w:before="0" w:line="360" w:lineRule="auto"/>
        <w:ind w:left="467"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аналітичних матеріалах (у випадку доречності) допускається можливість презентувати дані, беручи до уваги гендерну та недискримінаційну компоненти аналізу.</w:t>
      </w:r>
    </w:p>
    <w:p w:rsidR="00000000" w:rsidDel="00000000" w:rsidP="00000000" w:rsidRDefault="00000000" w:rsidRPr="00000000" w14:paraId="0000003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596"/>
        </w:tabs>
        <w:spacing w:after="0" w:before="77" w:line="360" w:lineRule="auto"/>
        <w:ind w:left="567" w:right="111" w:firstLine="42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Студентські організації та структурні підрозділи Академії повинні дотримуватися у своїй діяльності, публічних висловлюваннях (повідомленнях) та публічних матеріалах засад запобігання та протидії корупції, недискримінації, зокрема гендерної.</w:t>
      </w:r>
    </w:p>
    <w:p w:rsidR="00000000" w:rsidDel="00000000" w:rsidP="00000000" w:rsidRDefault="00000000" w:rsidRPr="00000000" w14:paraId="0000003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567"/>
        </w:tabs>
        <w:spacing w:after="0" w:before="1" w:line="360" w:lineRule="auto"/>
        <w:ind w:left="467" w:right="114" w:firstLine="6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Керівництво Академії має право в разі порушення вищезазначених положень щодо запобігання конфліктним ситуаціям вживати адміністративних заходів.</w:t>
      </w:r>
    </w:p>
    <w:p w:rsidR="00000000" w:rsidDel="00000000" w:rsidP="00000000" w:rsidRDefault="00000000" w:rsidRPr="00000000" w14:paraId="00000038">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ІІІ. ПРАВОВИЙ СТАТУС КОМІСІЇ З ВРЕГУЛЮВАННЯ КОНФЛІКТНИХ СИТУАЦІЙ</w:t>
      </w:r>
    </w:p>
    <w:p w:rsidR="00000000" w:rsidDel="00000000" w:rsidP="00000000" w:rsidRDefault="00000000" w:rsidRPr="00000000" w14:paraId="0000003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555"/>
        </w:tabs>
        <w:spacing w:after="0" w:before="0" w:line="360" w:lineRule="auto"/>
        <w:ind w:left="466" w:right="112" w:firstLine="61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Комісія з врегулювання конфліктних ситуацій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(далі - Комісія) є постійно діючим робочим органом Академії, який відповідає за поширення інформації про врегулювання конфліктних ситуацій в Академії, проводить навчання трудового колективу та студентства щодо попередження конфліктних ситуацій (включаючи пов'язаних із сексуальними домаганнями, дискримінацією та корупцією), надає інформаційну та консультативну підтримку керівництву структурних підрозділів щодо попередження конфліктних ситуацій, отримує і розглядає скарги у випадках виникнення конфліктних ситуацій в Академії</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555"/>
        </w:tabs>
        <w:spacing w:after="0" w:before="0" w:line="360" w:lineRule="auto"/>
        <w:ind w:left="466" w:right="113" w:firstLine="6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складу Комісії входять проректор з НПР, проректор з НР, директори, уповноважений представник трудового колективу, три представники органу студентського самоврядування. Склад Комісії затверджується ректором Академії раз на рік.</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67" w:right="113" w:firstLine="61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 Комісії для вирішення конкретної конфліктної ситуації формується проректором з НПР, проректором з НР і складається не  менше як з трьох членів Комісії, затверджених до її складу на відповідний календарний рік.</w:t>
      </w:r>
    </w:p>
    <w:p w:rsidR="00000000" w:rsidDel="00000000" w:rsidP="00000000" w:rsidRDefault="00000000" w:rsidRPr="00000000" w14:paraId="0000003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548"/>
        </w:tabs>
        <w:spacing w:after="0" w:before="0" w:line="360" w:lineRule="auto"/>
        <w:ind w:left="467" w:right="112" w:firstLine="61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Комісія зобов'язана у своїй роботі дотримуватись засад поваги до приватного життя та захисту персональних даних. У разі необхідності, Комісія надає консультативну підтримку студентським організаціям та структурним підрозділам Академії.</w:t>
      </w:r>
    </w:p>
    <w:p w:rsidR="00000000" w:rsidDel="00000000" w:rsidP="00000000" w:rsidRDefault="00000000" w:rsidRPr="00000000" w14:paraId="0000003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360" w:lineRule="auto"/>
        <w:ind w:left="426" w:right="0" w:hanging="5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Комісія має право подавати пропозиції щодо вдосконалення даного Положення та процедур та інших внутрішніх положень щодо попередження і  врегулювання конфліктних ситуацій.</w:t>
      </w:r>
    </w:p>
    <w:p w:rsidR="00000000" w:rsidDel="00000000" w:rsidP="00000000" w:rsidRDefault="00000000" w:rsidRPr="00000000" w14:paraId="0000003E">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ІУ. ПРОЦЕДУРИ ВРЕГУЛЮВАННЯ КОНФЛІКТНИХ СИТУАЦІЙ</w:t>
      </w:r>
    </w:p>
    <w:p w:rsidR="00000000" w:rsidDel="00000000" w:rsidP="00000000" w:rsidRDefault="00000000" w:rsidRPr="00000000" w14:paraId="0000003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774"/>
        </w:tabs>
        <w:spacing w:after="0" w:before="0" w:line="360" w:lineRule="auto"/>
        <w:ind w:left="467" w:right="114"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Академії передбачено два шляхи реагування на випадки виникнення конфліктних ситуацій - формальний та неформальний. У разі можливості, сторони, залучені до даного випадку, заохочуються вирішувати ситуацію, що склалась, не формальних шляхом.</w:t>
      </w:r>
    </w:p>
    <w:bookmarkStart w:colFirst="0" w:colLast="0" w:name="bookmark=id.30j0zll" w:id="1"/>
    <w:bookmarkEnd w:id="1"/>
    <w:p w:rsidR="00000000" w:rsidDel="00000000" w:rsidP="00000000" w:rsidRDefault="00000000" w:rsidRPr="00000000" w14:paraId="00000040">
      <w:pPr>
        <w:pStyle w:val="Heading1"/>
        <w:numPr>
          <w:ilvl w:val="1"/>
          <w:numId w:val="6"/>
        </w:numPr>
        <w:tabs>
          <w:tab w:val="left" w:leader="none" w:pos="1620"/>
        </w:tabs>
        <w:ind w:left="1619" w:hanging="553"/>
        <w:jc w:val="both"/>
        <w:rPr>
          <w:sz w:val="24"/>
          <w:szCs w:val="24"/>
        </w:rPr>
      </w:pPr>
      <w:r w:rsidDel="00000000" w:rsidR="00000000" w:rsidRPr="00000000">
        <w:rPr>
          <w:sz w:val="24"/>
          <w:szCs w:val="24"/>
          <w:rtl w:val="0"/>
        </w:rPr>
        <w:t xml:space="preserve">Подання скарги у випадку виникнення конфліктної ситуації</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60" w:lineRule="auto"/>
        <w:ind w:left="467" w:right="111"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Якщо працівник/здобувач або працівниця/здобувачка Академії вважають, що до них в Академії було порушено їхні права, він або вона можуть подати скаргу до Комісії з врегулювання конфліктних ситуацій. Також задля дотримання власних прав особі, яка вважає, що щодо неї мають місце сексуальні домагання, та(або) дискримінація, та(або) корупційні діяння, та(або) інші протиправні дії, рекомендується безпосередньо та невідкладно повідомити особу, яка вчиняє відповідні дії, про необхідність їх негайного припинення.</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67" w:right="112"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Скарга подається до Комісії у письмовій формі (в електронному або паперовому вигляді) і повинна містити опис порушення права особи, зазначення моменту (часу), коли відбулося порушення, факти і можливі докази, що підтверджують скаргу. Скарга може бути подана протягом 30 днів із дня вчинення діяння або з дня, коли повинно було стати відомо про його вчинення.</w:t>
      </w:r>
    </w:p>
    <w:p w:rsidR="00000000" w:rsidDel="00000000" w:rsidP="00000000" w:rsidRDefault="00000000" w:rsidRPr="00000000" w14:paraId="00000043">
      <w:pPr>
        <w:spacing w:after="0" w:line="36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Скарга може бути надіслана на електронну поштову скриньку </w:t>
      </w:r>
      <w:r w:rsidDel="00000000" w:rsidR="00000000" w:rsidRPr="00000000">
        <w:rPr>
          <w:rFonts w:ascii="Times New Roman" w:cs="Times New Roman" w:eastAsia="Times New Roman" w:hAnsi="Times New Roman"/>
          <w:sz w:val="24"/>
          <w:szCs w:val="24"/>
        </w:rPr>
        <w:drawing>
          <wp:inline distB="0" distT="0" distL="0" distR="0">
            <wp:extent cx="8255" cy="8255"/>
            <wp:effectExtent b="0" l="0" r="0" t="0"/>
            <wp:docPr descr="https://mail.google.com/mail/u/0/images/cleardot.gif" id="2" name="image1.gif"/>
            <a:graphic>
              <a:graphicData uri="http://schemas.openxmlformats.org/drawingml/2006/picture">
                <pic:pic>
                  <pic:nvPicPr>
                    <pic:cNvPr descr="https://mail.google.com/mail/u/0/images/cleardot.gif" id="0" name="image1.gif"/>
                    <pic:cNvPicPr preferRelativeResize="0"/>
                  </pic:nvPicPr>
                  <pic:blipFill>
                    <a:blip r:embed="rId9"/>
                    <a:srcRect b="0" l="0" r="0" t="0"/>
                    <a:stretch>
                      <a:fillRect/>
                    </a:stretch>
                  </pic:blipFill>
                  <pic:spPr>
                    <a:xfrm>
                      <a:off x="0" y="0"/>
                      <a:ext cx="8255" cy="825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загального відділу   </w:t>
      </w:r>
      <w:r w:rsidDel="00000000" w:rsidR="00000000" w:rsidRPr="00000000">
        <w:rPr>
          <w:rFonts w:ascii="Times New Roman" w:cs="Times New Roman" w:eastAsia="Times New Roman" w:hAnsi="Times New Roman"/>
          <w:color w:val="1155cc"/>
          <w:sz w:val="24"/>
          <w:szCs w:val="24"/>
          <w:u w:val="single"/>
          <w:rtl w:val="0"/>
        </w:rPr>
        <w:t xml:space="preserve">list@odaba.edu.ua</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66"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Загальний відділ (протягом робочого дня) передає отримані скарги до Комісії.</w:t>
      </w:r>
    </w:p>
    <w:bookmarkStart w:colFirst="0" w:colLast="0" w:name="bookmark=id.1fob9te" w:id="2"/>
    <w:bookmarkEnd w:id="2"/>
    <w:p w:rsidR="00000000" w:rsidDel="00000000" w:rsidP="00000000" w:rsidRDefault="00000000" w:rsidRPr="00000000" w14:paraId="00000045">
      <w:pPr>
        <w:pStyle w:val="Heading1"/>
        <w:numPr>
          <w:ilvl w:val="1"/>
          <w:numId w:val="6"/>
        </w:numPr>
        <w:tabs>
          <w:tab w:val="left" w:leader="none" w:pos="1620"/>
        </w:tabs>
        <w:ind w:left="1619" w:hanging="554"/>
        <w:jc w:val="both"/>
        <w:rPr>
          <w:sz w:val="24"/>
          <w:szCs w:val="24"/>
        </w:rPr>
      </w:pPr>
      <w:r w:rsidDel="00000000" w:rsidR="00000000" w:rsidRPr="00000000">
        <w:rPr>
          <w:sz w:val="24"/>
          <w:szCs w:val="24"/>
          <w:rtl w:val="0"/>
        </w:rPr>
        <w:t xml:space="preserve">Розгляд скарги щодо конфліктної ситуації</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466" w:right="112" w:firstLine="599.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Після отримання скарги Комісією та проведеної консультації з представником Комісії, скаржник/скаржниця може обрати наступні способи врегулювання конфліктної ситуації:</w:t>
      </w:r>
    </w:p>
    <w:p w:rsidR="00000000" w:rsidDel="00000000" w:rsidP="00000000" w:rsidRDefault="00000000" w:rsidRPr="00000000" w14:paraId="0000004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567"/>
        </w:tabs>
        <w:spacing w:after="0" w:before="161" w:line="240" w:lineRule="auto"/>
        <w:ind w:left="1566" w:right="0" w:hanging="5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неформальна процедура;</w:t>
      </w:r>
    </w:p>
    <w:p w:rsidR="00000000" w:rsidDel="00000000" w:rsidP="00000000" w:rsidRDefault="00000000" w:rsidRPr="00000000" w14:paraId="0000004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567"/>
        </w:tabs>
        <w:spacing w:after="0" w:before="163" w:line="240" w:lineRule="auto"/>
        <w:ind w:left="1566" w:right="0" w:hanging="5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формальна процедура.</w:t>
      </w:r>
    </w:p>
    <w:bookmarkStart w:colFirst="0" w:colLast="0" w:name="bookmark=id.3znysh7" w:id="3"/>
    <w:bookmarkEnd w:id="3"/>
    <w:p w:rsidR="00000000" w:rsidDel="00000000" w:rsidP="00000000" w:rsidRDefault="00000000" w:rsidRPr="00000000" w14:paraId="00000049">
      <w:pPr>
        <w:pStyle w:val="Heading1"/>
        <w:numPr>
          <w:ilvl w:val="2"/>
          <w:numId w:val="6"/>
        </w:numPr>
        <w:tabs>
          <w:tab w:val="left" w:leader="none" w:pos="1831"/>
        </w:tabs>
        <w:spacing w:before="160" w:lineRule="auto"/>
        <w:ind w:left="1830" w:hanging="764"/>
        <w:jc w:val="both"/>
        <w:rPr>
          <w:sz w:val="24"/>
          <w:szCs w:val="24"/>
        </w:rPr>
      </w:pPr>
      <w:r w:rsidDel="00000000" w:rsidR="00000000" w:rsidRPr="00000000">
        <w:rPr>
          <w:sz w:val="24"/>
          <w:szCs w:val="24"/>
          <w:rtl w:val="0"/>
        </w:rPr>
        <w:t xml:space="preserve">Неформальна процедура.</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467" w:right="112"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Після реєстрації скарги (заяви про конфліктну ситуацію), комісія (представник комісії) отримує в разі необхідності в письмовій формі від скаржника/скаржниці уточнюючі та додаткові деталі, пов'язані із конфліктною ситуацією, зокрема дата, місце, час, особи, залучені до ситуації, свідки тощо та призначає дату проведення спільної зустрічі зі сторонами конфлікту, який не може перевищувати 10 календарних днів з моменту отримання скарги.</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466" w:right="112" w:firstLine="599.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визначену дату Комісія проводить зустріч зі скаржником/скаржницею, відповідачем/відповідачкою (потенційним порушником/порушницею). Комісія вивчає скаргу, надає консультації обом сторонам, пропонує способи вирішення ситуації, що виникла у зв'язку з конфліктною ситуацією (які не передбачають прийняття адміністративних/дисциплінарних рішень керівництва Академії). У разі досягнення спільного рішення неформальна процедура завершується. На вимогу сторін конфлікту спільне рішення оформлюється у письмовій формі. Примірник такого спільного рішення повинен зберігатися в Комісії протягом п'яти років.</w:t>
      </w:r>
    </w:p>
    <w:bookmarkStart w:colFirst="0" w:colLast="0" w:name="bookmark=id.2et92p0" w:id="4"/>
    <w:bookmarkEnd w:id="4"/>
    <w:p w:rsidR="00000000" w:rsidDel="00000000" w:rsidP="00000000" w:rsidRDefault="00000000" w:rsidRPr="00000000" w14:paraId="0000004C">
      <w:pPr>
        <w:pStyle w:val="Heading1"/>
        <w:numPr>
          <w:ilvl w:val="2"/>
          <w:numId w:val="6"/>
        </w:numPr>
        <w:tabs>
          <w:tab w:val="left" w:leader="none" w:pos="1821"/>
        </w:tabs>
        <w:spacing w:line="320" w:lineRule="auto"/>
        <w:ind w:left="1820" w:hanging="755"/>
        <w:jc w:val="both"/>
        <w:rPr>
          <w:sz w:val="24"/>
          <w:szCs w:val="24"/>
        </w:rPr>
      </w:pPr>
      <w:r w:rsidDel="00000000" w:rsidR="00000000" w:rsidRPr="00000000">
        <w:rPr>
          <w:sz w:val="24"/>
          <w:szCs w:val="24"/>
          <w:rtl w:val="0"/>
        </w:rPr>
        <w:t xml:space="preserve">Формальна процедура.</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10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Формальний шлях реагування на конфліктну ситуацію здійснюється в разі:</w:t>
      </w:r>
    </w:p>
    <w:p w:rsidR="00000000" w:rsidDel="00000000" w:rsidP="00000000" w:rsidRDefault="00000000" w:rsidRPr="00000000" w14:paraId="0000004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81"/>
        </w:tabs>
        <w:spacing w:after="0" w:before="161" w:line="240" w:lineRule="auto"/>
        <w:ind w:left="1480" w:right="0" w:hanging="41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якщо скаржником/скаржницею обрано формальну процедуру;</w:t>
      </w:r>
    </w:p>
    <w:p w:rsidR="00000000" w:rsidDel="00000000" w:rsidP="00000000" w:rsidRDefault="00000000" w:rsidRPr="00000000" w14:paraId="0000004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81"/>
        </w:tabs>
        <w:spacing w:after="0" w:before="160" w:line="360" w:lineRule="auto"/>
        <w:ind w:left="467" w:right="112"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відмови відповідача/відповідачки (потенційного порушника/порушниці) від неформальної процедури;</w:t>
      </w:r>
    </w:p>
    <w:p w:rsidR="00000000" w:rsidDel="00000000" w:rsidP="00000000" w:rsidRDefault="00000000" w:rsidRPr="00000000" w14:paraId="0000005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81"/>
        </w:tabs>
        <w:spacing w:after="0" w:before="1" w:line="360" w:lineRule="auto"/>
        <w:ind w:left="467" w:right="114"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якщо шляхом неформальної процедури не було досягнуто спільного рішення.</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66" w:right="111" w:firstLine="599.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Комісія в межах формальної процедури після отримання та реєстрації скарги обов'язково інформує керівництво Академії. Протягом 10 робочих днів проводиться засідання Комісії на якому вирішується чи розгляд скарги належить до компетенції Комісії та отримує в разі необхідності в письмовій формі від сторін конфлікту уточнюючі та додаткові деталі, пов'язані із конфліктною ситуацією, зокрема дата,</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467" w:right="113" w:hanging="1.0000000000000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місце, час, особи, залучені до ситуації, свідки тощо. Комісія призначає дату (дати) проведення засідання (засідань) за участі сторін конфлікту, який не може    перевищувати 30 календарних днів з моменту отримання скарги.</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467" w:right="111" w:firstLine="59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Протягом 30 календарних днів від дня отримання скарги Комісія проводить засідання, на яке запрошуються скаржник/скаржниця, відповідач/відповідачка (потенційний порушник/порушниця), свідки та інші особи, які можуть надати необхідну інформацію. Строк розгляду може бути продовжено не більше ніж на 30 днів, з прийняттям відповідного рішення Комісії. У разі необхідності Комісія може запитувати додаткову інформацію, а також звертатися за консультацією та/або інформацією до працівників Академії, які є незацікавленими особами у ситуації, що розглядається.</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66" w:right="110" w:firstLine="599.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разі, якщо конфліктна ситуація стосується неповнолітньої особи, Комісія обов'язково проводить зустріч (зустрічі) з батьками (законними представниками) неповнолітньої особи та запрошує їх на засідання. Про проведення формальної процедури обов'язково інформують ректора Академії.</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66" w:right="114" w:firstLine="599.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результатами проведення формальної процедури оформлюється рішення у письмовій формі, яке підписується всіма членами Комісії та сторонами конфлікту, кожна з яких отримує примірник рішення.</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66" w:right="112" w:firstLine="599.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підставі рішення Комісії керівництво Академії приймає відповідні рішення, передбачені та дозволені законодавством, зокрема, винесення догани або звільнення працівника/працівниці, відрахування здобувача/здобувачки тощо. Примірник рішення та матеріали формальної процедури повинні зберігатися в Комісії протягом п'яти років.</w:t>
      </w:r>
    </w:p>
    <w:bookmarkStart w:colFirst="0" w:colLast="0" w:name="bookmark=id.tyjcwt" w:id="5"/>
    <w:bookmarkEnd w:id="5"/>
    <w:p w:rsidR="00000000" w:rsidDel="00000000" w:rsidP="00000000" w:rsidRDefault="00000000" w:rsidRPr="00000000" w14:paraId="00000057">
      <w:pPr>
        <w:pStyle w:val="Heading1"/>
        <w:tabs>
          <w:tab w:val="left" w:leader="none" w:pos="4043"/>
        </w:tabs>
        <w:spacing w:line="360" w:lineRule="auto"/>
        <w:ind w:left="1376" w:right="1024" w:firstLine="1446.9999999999995"/>
        <w:jc w:val="center"/>
        <w:rPr>
          <w:sz w:val="24"/>
          <w:szCs w:val="24"/>
        </w:rPr>
      </w:pPr>
      <w:r w:rsidDel="00000000" w:rsidR="00000000" w:rsidRPr="00000000">
        <w:rPr>
          <w:sz w:val="24"/>
          <w:szCs w:val="24"/>
          <w:rtl w:val="0"/>
        </w:rPr>
        <w:t xml:space="preserve">V. МОНІТОРИНГ ДОТРИМАННЯ ПРОЦЕДУР З ВРЕГУЛЮВАННЯ КОНФЛІКТНИХ СИТУАЦІЙ</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67" w:right="112" w:firstLine="59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6850" w:w="11900" w:orient="portrait"/>
          <w:pgMar w:bottom="1134" w:top="1134" w:left="1134" w:right="1134" w:header="720" w:footer="720"/>
          <w:pgNumType w:start="1"/>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кінці календарного року Комісія з врегулювання конфліктних ситуацій готує і оприлюднює на офіційному веб-сайті Академії щорічний звіт «Політика та процедури врегулювання конфліктних ситуацій», який містить узагальнені дані про проведені Комісією навчання, тренінги з попередження конфліктних ситуацій (включаючи пов'язаних із сексуальними домаганнями, дискримінацією та корупцією), результати опитування здобувачів вищої освіти (в тому числі за результатами анонімного анкетування), кількість скарг (загальна та в розрізі окремих конфліктних ситуацій, наприклад, пов'язаних із дискримінацією), аналіз питань, що були порушені у скаргах.</w:t>
      </w:r>
    </w:p>
    <w:p w:rsidR="00000000" w:rsidDel="00000000" w:rsidP="00000000" w:rsidRDefault="00000000" w:rsidRPr="00000000" w14:paraId="00000059">
      <w:pPr>
        <w:rPr/>
      </w:pPr>
      <w:r w:rsidDel="00000000" w:rsidR="00000000" w:rsidRPr="00000000">
        <w:rPr>
          <w:rtl w:val="0"/>
        </w:rPr>
      </w:r>
    </w:p>
    <w:sectPr>
      <w:type w:val="nextPage"/>
      <w:pgSz w:h="16850" w:w="11900" w:orient="portrait"/>
      <w:pgMar w:bottom="1134"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466" w:hanging="360"/>
      </w:pPr>
      <w:rPr>
        <w:rFonts w:ascii="Times New Roman" w:cs="Times New Roman" w:eastAsia="Times New Roman" w:hAnsi="Times New Roman"/>
        <w:b w:val="1"/>
        <w:sz w:val="28"/>
        <w:szCs w:val="28"/>
      </w:rPr>
    </w:lvl>
    <w:lvl w:ilvl="1">
      <w:start w:val="0"/>
      <w:numFmt w:val="bullet"/>
      <w:lvlText w:val="•"/>
      <w:lvlJc w:val="left"/>
      <w:pPr>
        <w:ind w:left="1481" w:hanging="360"/>
      </w:pPr>
      <w:rPr/>
    </w:lvl>
    <w:lvl w:ilvl="2">
      <w:start w:val="0"/>
      <w:numFmt w:val="bullet"/>
      <w:lvlText w:val="•"/>
      <w:lvlJc w:val="left"/>
      <w:pPr>
        <w:ind w:left="2503" w:hanging="360"/>
      </w:pPr>
      <w:rPr/>
    </w:lvl>
    <w:lvl w:ilvl="3">
      <w:start w:val="0"/>
      <w:numFmt w:val="bullet"/>
      <w:lvlText w:val="•"/>
      <w:lvlJc w:val="left"/>
      <w:pPr>
        <w:ind w:left="3525" w:hanging="360"/>
      </w:pPr>
      <w:rPr/>
    </w:lvl>
    <w:lvl w:ilvl="4">
      <w:start w:val="0"/>
      <w:numFmt w:val="bullet"/>
      <w:lvlText w:val="•"/>
      <w:lvlJc w:val="left"/>
      <w:pPr>
        <w:ind w:left="4547" w:hanging="360"/>
      </w:pPr>
      <w:rPr/>
    </w:lvl>
    <w:lvl w:ilvl="5">
      <w:start w:val="0"/>
      <w:numFmt w:val="bullet"/>
      <w:lvlText w:val="•"/>
      <w:lvlJc w:val="left"/>
      <w:pPr>
        <w:ind w:left="5569" w:hanging="360"/>
      </w:pPr>
      <w:rPr/>
    </w:lvl>
    <w:lvl w:ilvl="6">
      <w:start w:val="0"/>
      <w:numFmt w:val="bullet"/>
      <w:lvlText w:val="•"/>
      <w:lvlJc w:val="left"/>
      <w:pPr>
        <w:ind w:left="6591" w:hanging="360"/>
      </w:pPr>
      <w:rPr/>
    </w:lvl>
    <w:lvl w:ilvl="7">
      <w:start w:val="0"/>
      <w:numFmt w:val="bullet"/>
      <w:lvlText w:val="•"/>
      <w:lvlJc w:val="left"/>
      <w:pPr>
        <w:ind w:left="7613" w:hanging="360"/>
      </w:pPr>
      <w:rPr/>
    </w:lvl>
    <w:lvl w:ilvl="8">
      <w:start w:val="0"/>
      <w:numFmt w:val="bullet"/>
      <w:lvlText w:val="•"/>
      <w:lvlJc w:val="left"/>
      <w:pPr>
        <w:ind w:left="8635" w:hanging="360"/>
      </w:pPr>
      <w:rPr/>
    </w:lvl>
  </w:abstractNum>
  <w:abstractNum w:abstractNumId="2">
    <w:lvl w:ilvl="0">
      <w:start w:val="1"/>
      <w:numFmt w:val="decimal"/>
      <w:lvlText w:val="%1"/>
      <w:lvlJc w:val="left"/>
      <w:pPr>
        <w:ind w:left="466" w:hanging="509"/>
      </w:pPr>
      <w:rPr/>
    </w:lvl>
    <w:lvl w:ilvl="1">
      <w:start w:val="1"/>
      <w:numFmt w:val="decimal"/>
      <w:lvlText w:val="%1.%2."/>
      <w:lvlJc w:val="left"/>
      <w:pPr>
        <w:ind w:left="466" w:hanging="509"/>
      </w:pPr>
      <w:rPr>
        <w:rFonts w:ascii="Times New Roman" w:cs="Times New Roman" w:eastAsia="Times New Roman" w:hAnsi="Times New Roman"/>
        <w:b w:val="1"/>
        <w:sz w:val="24"/>
        <w:szCs w:val="24"/>
      </w:rPr>
    </w:lvl>
    <w:lvl w:ilvl="2">
      <w:start w:val="0"/>
      <w:numFmt w:val="bullet"/>
      <w:lvlText w:val="•"/>
      <w:lvlJc w:val="left"/>
      <w:pPr>
        <w:ind w:left="2503" w:hanging="509"/>
      </w:pPr>
      <w:rPr/>
    </w:lvl>
    <w:lvl w:ilvl="3">
      <w:start w:val="0"/>
      <w:numFmt w:val="bullet"/>
      <w:lvlText w:val="•"/>
      <w:lvlJc w:val="left"/>
      <w:pPr>
        <w:ind w:left="3525" w:hanging="509"/>
      </w:pPr>
      <w:rPr/>
    </w:lvl>
    <w:lvl w:ilvl="4">
      <w:start w:val="0"/>
      <w:numFmt w:val="bullet"/>
      <w:lvlText w:val="•"/>
      <w:lvlJc w:val="left"/>
      <w:pPr>
        <w:ind w:left="4547" w:hanging="509"/>
      </w:pPr>
      <w:rPr/>
    </w:lvl>
    <w:lvl w:ilvl="5">
      <w:start w:val="0"/>
      <w:numFmt w:val="bullet"/>
      <w:lvlText w:val="•"/>
      <w:lvlJc w:val="left"/>
      <w:pPr>
        <w:ind w:left="5569" w:hanging="509"/>
      </w:pPr>
      <w:rPr/>
    </w:lvl>
    <w:lvl w:ilvl="6">
      <w:start w:val="0"/>
      <w:numFmt w:val="bullet"/>
      <w:lvlText w:val="•"/>
      <w:lvlJc w:val="left"/>
      <w:pPr>
        <w:ind w:left="6591" w:hanging="509"/>
      </w:pPr>
      <w:rPr/>
    </w:lvl>
    <w:lvl w:ilvl="7">
      <w:start w:val="0"/>
      <w:numFmt w:val="bullet"/>
      <w:lvlText w:val="•"/>
      <w:lvlJc w:val="left"/>
      <w:pPr>
        <w:ind w:left="7613" w:hanging="509"/>
      </w:pPr>
      <w:rPr/>
    </w:lvl>
    <w:lvl w:ilvl="8">
      <w:start w:val="0"/>
      <w:numFmt w:val="bullet"/>
      <w:lvlText w:val="•"/>
      <w:lvlJc w:val="left"/>
      <w:pPr>
        <w:ind w:left="8635" w:hanging="509"/>
      </w:pPr>
      <w:rPr/>
    </w:lvl>
  </w:abstractNum>
  <w:abstractNum w:abstractNumId="3">
    <w:lvl w:ilvl="0">
      <w:start w:val="2"/>
      <w:numFmt w:val="decimal"/>
      <w:lvlText w:val="%1"/>
      <w:lvlJc w:val="left"/>
      <w:pPr>
        <w:ind w:left="467" w:hanging="468.99999999999994"/>
      </w:pPr>
      <w:rPr/>
    </w:lvl>
    <w:lvl w:ilvl="1">
      <w:start w:val="1"/>
      <w:numFmt w:val="decimal"/>
      <w:lvlText w:val="%1.%2."/>
      <w:lvlJc w:val="left"/>
      <w:pPr>
        <w:ind w:left="467" w:hanging="468.99999999999994"/>
      </w:pPr>
      <w:rPr>
        <w:rFonts w:ascii="Times New Roman" w:cs="Times New Roman" w:eastAsia="Times New Roman" w:hAnsi="Times New Roman"/>
        <w:b w:val="1"/>
        <w:sz w:val="24"/>
        <w:szCs w:val="24"/>
      </w:rPr>
    </w:lvl>
    <w:lvl w:ilvl="2">
      <w:start w:val="0"/>
      <w:numFmt w:val="bullet"/>
      <w:lvlText w:val="•"/>
      <w:lvlJc w:val="left"/>
      <w:pPr>
        <w:ind w:left="2503" w:hanging="469"/>
      </w:pPr>
      <w:rPr/>
    </w:lvl>
    <w:lvl w:ilvl="3">
      <w:start w:val="0"/>
      <w:numFmt w:val="bullet"/>
      <w:lvlText w:val="•"/>
      <w:lvlJc w:val="left"/>
      <w:pPr>
        <w:ind w:left="3525" w:hanging="469"/>
      </w:pPr>
      <w:rPr/>
    </w:lvl>
    <w:lvl w:ilvl="4">
      <w:start w:val="0"/>
      <w:numFmt w:val="bullet"/>
      <w:lvlText w:val="•"/>
      <w:lvlJc w:val="left"/>
      <w:pPr>
        <w:ind w:left="4547" w:hanging="469"/>
      </w:pPr>
      <w:rPr/>
    </w:lvl>
    <w:lvl w:ilvl="5">
      <w:start w:val="0"/>
      <w:numFmt w:val="bullet"/>
      <w:lvlText w:val="•"/>
      <w:lvlJc w:val="left"/>
      <w:pPr>
        <w:ind w:left="5569" w:hanging="469"/>
      </w:pPr>
      <w:rPr/>
    </w:lvl>
    <w:lvl w:ilvl="6">
      <w:start w:val="0"/>
      <w:numFmt w:val="bullet"/>
      <w:lvlText w:val="•"/>
      <w:lvlJc w:val="left"/>
      <w:pPr>
        <w:ind w:left="6591" w:hanging="469"/>
      </w:pPr>
      <w:rPr/>
    </w:lvl>
    <w:lvl w:ilvl="7">
      <w:start w:val="0"/>
      <w:numFmt w:val="bullet"/>
      <w:lvlText w:val="•"/>
      <w:lvlJc w:val="left"/>
      <w:pPr>
        <w:ind w:left="7613" w:hanging="469"/>
      </w:pPr>
      <w:rPr/>
    </w:lvl>
    <w:lvl w:ilvl="8">
      <w:start w:val="0"/>
      <w:numFmt w:val="bullet"/>
      <w:lvlText w:val="•"/>
      <w:lvlJc w:val="left"/>
      <w:pPr>
        <w:ind w:left="8635" w:hanging="469"/>
      </w:pPr>
      <w:rPr/>
    </w:lvl>
  </w:abstractNum>
  <w:abstractNum w:abstractNumId="4">
    <w:lvl w:ilvl="0">
      <w:start w:val="2"/>
      <w:numFmt w:val="decimal"/>
      <w:lvlText w:val="%1"/>
      <w:lvlJc w:val="left"/>
      <w:pPr>
        <w:ind w:left="467" w:hanging="468.99999999999994"/>
      </w:pPr>
      <w:rPr/>
    </w:lvl>
    <w:lvl w:ilvl="1">
      <w:start w:val="1"/>
      <w:numFmt w:val="decimal"/>
      <w:lvlText w:val="%1.%2."/>
      <w:lvlJc w:val="left"/>
      <w:pPr>
        <w:ind w:left="467" w:hanging="468.99999999999994"/>
      </w:pPr>
      <w:rPr>
        <w:rFonts w:ascii="Times New Roman" w:cs="Times New Roman" w:eastAsia="Times New Roman" w:hAnsi="Times New Roman"/>
        <w:b w:val="1"/>
        <w:sz w:val="24"/>
        <w:szCs w:val="24"/>
      </w:rPr>
    </w:lvl>
    <w:lvl w:ilvl="2">
      <w:start w:val="0"/>
      <w:numFmt w:val="bullet"/>
      <w:lvlText w:val="•"/>
      <w:lvlJc w:val="left"/>
      <w:pPr>
        <w:ind w:left="2503" w:hanging="469"/>
      </w:pPr>
      <w:rPr/>
    </w:lvl>
    <w:lvl w:ilvl="3">
      <w:start w:val="0"/>
      <w:numFmt w:val="bullet"/>
      <w:lvlText w:val="•"/>
      <w:lvlJc w:val="left"/>
      <w:pPr>
        <w:ind w:left="3525" w:hanging="469"/>
      </w:pPr>
      <w:rPr/>
    </w:lvl>
    <w:lvl w:ilvl="4">
      <w:start w:val="0"/>
      <w:numFmt w:val="bullet"/>
      <w:lvlText w:val="•"/>
      <w:lvlJc w:val="left"/>
      <w:pPr>
        <w:ind w:left="4547" w:hanging="469"/>
      </w:pPr>
      <w:rPr/>
    </w:lvl>
    <w:lvl w:ilvl="5">
      <w:start w:val="0"/>
      <w:numFmt w:val="bullet"/>
      <w:lvlText w:val="•"/>
      <w:lvlJc w:val="left"/>
      <w:pPr>
        <w:ind w:left="5569" w:hanging="469"/>
      </w:pPr>
      <w:rPr/>
    </w:lvl>
    <w:lvl w:ilvl="6">
      <w:start w:val="0"/>
      <w:numFmt w:val="bullet"/>
      <w:lvlText w:val="•"/>
      <w:lvlJc w:val="left"/>
      <w:pPr>
        <w:ind w:left="6591" w:hanging="469"/>
      </w:pPr>
      <w:rPr/>
    </w:lvl>
    <w:lvl w:ilvl="7">
      <w:start w:val="0"/>
      <w:numFmt w:val="bullet"/>
      <w:lvlText w:val="•"/>
      <w:lvlJc w:val="left"/>
      <w:pPr>
        <w:ind w:left="7613" w:hanging="469"/>
      </w:pPr>
      <w:rPr/>
    </w:lvl>
    <w:lvl w:ilvl="8">
      <w:start w:val="0"/>
      <w:numFmt w:val="bullet"/>
      <w:lvlText w:val="•"/>
      <w:lvlJc w:val="left"/>
      <w:pPr>
        <w:ind w:left="8635" w:hanging="469"/>
      </w:pPr>
      <w:rPr/>
    </w:lvl>
  </w:abstractNum>
  <w:abstractNum w:abstractNumId="5">
    <w:lvl w:ilvl="0">
      <w:start w:val="3"/>
      <w:numFmt w:val="decimal"/>
      <w:lvlText w:val="%1"/>
      <w:lvlJc w:val="left"/>
      <w:pPr>
        <w:ind w:left="466" w:hanging="469"/>
      </w:pPr>
      <w:rPr/>
    </w:lvl>
    <w:lvl w:ilvl="1">
      <w:start w:val="1"/>
      <w:numFmt w:val="decimal"/>
      <w:lvlText w:val="%1.%2."/>
      <w:lvlJc w:val="left"/>
      <w:pPr>
        <w:ind w:left="466" w:hanging="469"/>
      </w:pPr>
      <w:rPr>
        <w:rFonts w:ascii="Times New Roman" w:cs="Times New Roman" w:eastAsia="Times New Roman" w:hAnsi="Times New Roman"/>
        <w:b w:val="1"/>
        <w:sz w:val="24"/>
        <w:szCs w:val="24"/>
      </w:rPr>
    </w:lvl>
    <w:lvl w:ilvl="2">
      <w:start w:val="0"/>
      <w:numFmt w:val="bullet"/>
      <w:lvlText w:val="•"/>
      <w:lvlJc w:val="left"/>
      <w:pPr>
        <w:ind w:left="2503" w:hanging="469"/>
      </w:pPr>
      <w:rPr/>
    </w:lvl>
    <w:lvl w:ilvl="3">
      <w:start w:val="0"/>
      <w:numFmt w:val="bullet"/>
      <w:lvlText w:val="•"/>
      <w:lvlJc w:val="left"/>
      <w:pPr>
        <w:ind w:left="3525" w:hanging="469"/>
      </w:pPr>
      <w:rPr/>
    </w:lvl>
    <w:lvl w:ilvl="4">
      <w:start w:val="0"/>
      <w:numFmt w:val="bullet"/>
      <w:lvlText w:val="•"/>
      <w:lvlJc w:val="left"/>
      <w:pPr>
        <w:ind w:left="4547" w:hanging="469"/>
      </w:pPr>
      <w:rPr/>
    </w:lvl>
    <w:lvl w:ilvl="5">
      <w:start w:val="0"/>
      <w:numFmt w:val="bullet"/>
      <w:lvlText w:val="•"/>
      <w:lvlJc w:val="left"/>
      <w:pPr>
        <w:ind w:left="5569" w:hanging="469"/>
      </w:pPr>
      <w:rPr/>
    </w:lvl>
    <w:lvl w:ilvl="6">
      <w:start w:val="0"/>
      <w:numFmt w:val="bullet"/>
      <w:lvlText w:val="•"/>
      <w:lvlJc w:val="left"/>
      <w:pPr>
        <w:ind w:left="6591" w:hanging="469"/>
      </w:pPr>
      <w:rPr/>
    </w:lvl>
    <w:lvl w:ilvl="7">
      <w:start w:val="0"/>
      <w:numFmt w:val="bullet"/>
      <w:lvlText w:val="•"/>
      <w:lvlJc w:val="left"/>
      <w:pPr>
        <w:ind w:left="7613" w:hanging="469"/>
      </w:pPr>
      <w:rPr/>
    </w:lvl>
    <w:lvl w:ilvl="8">
      <w:start w:val="0"/>
      <w:numFmt w:val="bullet"/>
      <w:lvlText w:val="•"/>
      <w:lvlJc w:val="left"/>
      <w:pPr>
        <w:ind w:left="8635" w:hanging="469"/>
      </w:pPr>
      <w:rPr/>
    </w:lvl>
  </w:abstractNum>
  <w:abstractNum w:abstractNumId="6">
    <w:lvl w:ilvl="0">
      <w:start w:val="4"/>
      <w:numFmt w:val="decimal"/>
      <w:lvlText w:val="%1"/>
      <w:lvlJc w:val="left"/>
      <w:pPr>
        <w:ind w:left="467" w:hanging="705.9999999999999"/>
      </w:pPr>
      <w:rPr/>
    </w:lvl>
    <w:lvl w:ilvl="1">
      <w:start w:val="1"/>
      <w:numFmt w:val="decimal"/>
      <w:lvlText w:val="%1.%2."/>
      <w:lvlJc w:val="left"/>
      <w:pPr>
        <w:ind w:left="467" w:hanging="705.9999999999999"/>
      </w:pPr>
      <w:rPr>
        <w:rFonts w:ascii="Times New Roman" w:cs="Times New Roman" w:eastAsia="Times New Roman" w:hAnsi="Times New Roman"/>
        <w:b w:val="1"/>
        <w:sz w:val="28"/>
        <w:szCs w:val="28"/>
      </w:rPr>
    </w:lvl>
    <w:lvl w:ilvl="2">
      <w:start w:val="1"/>
      <w:numFmt w:val="decimal"/>
      <w:lvlText w:val="%1.%2.%3."/>
      <w:lvlJc w:val="left"/>
      <w:pPr>
        <w:ind w:left="1830" w:hanging="764"/>
      </w:pPr>
      <w:rPr>
        <w:rFonts w:ascii="Times New Roman" w:cs="Times New Roman" w:eastAsia="Times New Roman" w:hAnsi="Times New Roman"/>
        <w:b w:val="1"/>
        <w:sz w:val="28"/>
        <w:szCs w:val="28"/>
      </w:rPr>
    </w:lvl>
    <w:lvl w:ilvl="3">
      <w:start w:val="0"/>
      <w:numFmt w:val="bullet"/>
      <w:lvlText w:val="•"/>
      <w:lvlJc w:val="left"/>
      <w:pPr>
        <w:ind w:left="3804" w:hanging="764"/>
      </w:pPr>
      <w:rPr/>
    </w:lvl>
    <w:lvl w:ilvl="4">
      <w:start w:val="0"/>
      <w:numFmt w:val="bullet"/>
      <w:lvlText w:val="•"/>
      <w:lvlJc w:val="left"/>
      <w:pPr>
        <w:ind w:left="4786" w:hanging="763.9999999999995"/>
      </w:pPr>
      <w:rPr/>
    </w:lvl>
    <w:lvl w:ilvl="5">
      <w:start w:val="0"/>
      <w:numFmt w:val="bullet"/>
      <w:lvlText w:val="•"/>
      <w:lvlJc w:val="left"/>
      <w:pPr>
        <w:ind w:left="5768" w:hanging="764"/>
      </w:pPr>
      <w:rPr/>
    </w:lvl>
    <w:lvl w:ilvl="6">
      <w:start w:val="0"/>
      <w:numFmt w:val="bullet"/>
      <w:lvlText w:val="•"/>
      <w:lvlJc w:val="left"/>
      <w:pPr>
        <w:ind w:left="6750" w:hanging="764"/>
      </w:pPr>
      <w:rPr/>
    </w:lvl>
    <w:lvl w:ilvl="7">
      <w:start w:val="0"/>
      <w:numFmt w:val="bullet"/>
      <w:lvlText w:val="•"/>
      <w:lvlJc w:val="left"/>
      <w:pPr>
        <w:ind w:left="7732" w:hanging="763.9999999999991"/>
      </w:pPr>
      <w:rPr/>
    </w:lvl>
    <w:lvl w:ilvl="8">
      <w:start w:val="0"/>
      <w:numFmt w:val="bullet"/>
      <w:lvlText w:val="•"/>
      <w:lvlJc w:val="left"/>
      <w:pPr>
        <w:ind w:left="8714" w:hanging="764"/>
      </w:pPr>
      <w:rPr/>
    </w:lvl>
  </w:abstractNum>
  <w:abstractNum w:abstractNumId="7">
    <w:lvl w:ilvl="0">
      <w:start w:val="1"/>
      <w:numFmt w:val="decimal"/>
      <w:lvlText w:val="%1)"/>
      <w:lvlJc w:val="left"/>
      <w:pPr>
        <w:ind w:left="1480" w:hanging="413"/>
      </w:pPr>
      <w:rPr>
        <w:rFonts w:ascii="Times New Roman" w:cs="Times New Roman" w:eastAsia="Times New Roman" w:hAnsi="Times New Roman"/>
        <w:sz w:val="28"/>
        <w:szCs w:val="28"/>
      </w:rPr>
    </w:lvl>
    <w:lvl w:ilvl="1">
      <w:start w:val="0"/>
      <w:numFmt w:val="bullet"/>
      <w:lvlText w:val="•"/>
      <w:lvlJc w:val="left"/>
      <w:pPr>
        <w:ind w:left="1480" w:hanging="413"/>
      </w:pPr>
      <w:rPr/>
    </w:lvl>
    <w:lvl w:ilvl="2">
      <w:start w:val="0"/>
      <w:numFmt w:val="bullet"/>
      <w:lvlText w:val="•"/>
      <w:lvlJc w:val="left"/>
      <w:pPr>
        <w:ind w:left="2502" w:hanging="413"/>
      </w:pPr>
      <w:rPr/>
    </w:lvl>
    <w:lvl w:ilvl="3">
      <w:start w:val="0"/>
      <w:numFmt w:val="bullet"/>
      <w:lvlText w:val="•"/>
      <w:lvlJc w:val="left"/>
      <w:pPr>
        <w:ind w:left="3524" w:hanging="413.00000000000045"/>
      </w:pPr>
      <w:rPr/>
    </w:lvl>
    <w:lvl w:ilvl="4">
      <w:start w:val="0"/>
      <w:numFmt w:val="bullet"/>
      <w:lvlText w:val="•"/>
      <w:lvlJc w:val="left"/>
      <w:pPr>
        <w:ind w:left="4546" w:hanging="413"/>
      </w:pPr>
      <w:rPr/>
    </w:lvl>
    <w:lvl w:ilvl="5">
      <w:start w:val="0"/>
      <w:numFmt w:val="bullet"/>
      <w:lvlText w:val="•"/>
      <w:lvlJc w:val="left"/>
      <w:pPr>
        <w:ind w:left="5568" w:hanging="413"/>
      </w:pPr>
      <w:rPr/>
    </w:lvl>
    <w:lvl w:ilvl="6">
      <w:start w:val="0"/>
      <w:numFmt w:val="bullet"/>
      <w:lvlText w:val="•"/>
      <w:lvlJc w:val="left"/>
      <w:pPr>
        <w:ind w:left="6590" w:hanging="413"/>
      </w:pPr>
      <w:rPr/>
    </w:lvl>
    <w:lvl w:ilvl="7">
      <w:start w:val="0"/>
      <w:numFmt w:val="bullet"/>
      <w:lvlText w:val="•"/>
      <w:lvlJc w:val="left"/>
      <w:pPr>
        <w:ind w:left="7612" w:hanging="412.9999999999991"/>
      </w:pPr>
      <w:rPr/>
    </w:lvl>
    <w:lvl w:ilvl="8">
      <w:start w:val="0"/>
      <w:numFmt w:val="bullet"/>
      <w:lvlText w:val="•"/>
      <w:lvlJc w:val="left"/>
      <w:pPr>
        <w:ind w:left="8634" w:hanging="413"/>
      </w:pPr>
      <w:rPr/>
    </w:lvl>
  </w:abstractNum>
  <w:abstractNum w:abstractNumId="8">
    <w:lvl w:ilvl="0">
      <w:start w:val="1"/>
      <w:numFmt w:val="decimal"/>
      <w:lvlText w:val="%1)"/>
      <w:lvlJc w:val="left"/>
      <w:pPr>
        <w:ind w:left="1566" w:hanging="500"/>
      </w:pPr>
      <w:rPr>
        <w:rFonts w:ascii="Times New Roman" w:cs="Times New Roman" w:eastAsia="Times New Roman" w:hAnsi="Times New Roman"/>
        <w:sz w:val="28"/>
        <w:szCs w:val="28"/>
      </w:rPr>
    </w:lvl>
    <w:lvl w:ilvl="1">
      <w:start w:val="0"/>
      <w:numFmt w:val="bullet"/>
      <w:lvlText w:val="•"/>
      <w:lvlJc w:val="left"/>
      <w:pPr>
        <w:ind w:left="2471" w:hanging="500"/>
      </w:pPr>
      <w:rPr/>
    </w:lvl>
    <w:lvl w:ilvl="2">
      <w:start w:val="0"/>
      <w:numFmt w:val="bullet"/>
      <w:lvlText w:val="•"/>
      <w:lvlJc w:val="left"/>
      <w:pPr>
        <w:ind w:left="3383" w:hanging="500"/>
      </w:pPr>
      <w:rPr/>
    </w:lvl>
    <w:lvl w:ilvl="3">
      <w:start w:val="0"/>
      <w:numFmt w:val="bullet"/>
      <w:lvlText w:val="•"/>
      <w:lvlJc w:val="left"/>
      <w:pPr>
        <w:ind w:left="4295" w:hanging="500"/>
      </w:pPr>
      <w:rPr/>
    </w:lvl>
    <w:lvl w:ilvl="4">
      <w:start w:val="0"/>
      <w:numFmt w:val="bullet"/>
      <w:lvlText w:val="•"/>
      <w:lvlJc w:val="left"/>
      <w:pPr>
        <w:ind w:left="5207" w:hanging="500"/>
      </w:pPr>
      <w:rPr/>
    </w:lvl>
    <w:lvl w:ilvl="5">
      <w:start w:val="0"/>
      <w:numFmt w:val="bullet"/>
      <w:lvlText w:val="•"/>
      <w:lvlJc w:val="left"/>
      <w:pPr>
        <w:ind w:left="6119" w:hanging="500"/>
      </w:pPr>
      <w:rPr/>
    </w:lvl>
    <w:lvl w:ilvl="6">
      <w:start w:val="0"/>
      <w:numFmt w:val="bullet"/>
      <w:lvlText w:val="•"/>
      <w:lvlJc w:val="left"/>
      <w:pPr>
        <w:ind w:left="7031" w:hanging="500"/>
      </w:pPr>
      <w:rPr/>
    </w:lvl>
    <w:lvl w:ilvl="7">
      <w:start w:val="0"/>
      <w:numFmt w:val="bullet"/>
      <w:lvlText w:val="•"/>
      <w:lvlJc w:val="left"/>
      <w:pPr>
        <w:ind w:left="7943" w:hanging="500"/>
      </w:pPr>
      <w:rPr/>
    </w:lvl>
    <w:lvl w:ilvl="8">
      <w:start w:val="0"/>
      <w:numFmt w:val="bullet"/>
      <w:lvlText w:val="•"/>
      <w:lvlJc w:val="left"/>
      <w:pPr>
        <w:ind w:left="8855" w:hanging="5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619"/>
      <w:jc w:val="both"/>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
    <w:link w:val="10"/>
    <w:uiPriority w:val="1"/>
    <w:qFormat w:val="1"/>
    <w:rsid w:val="00EB1512"/>
    <w:pPr>
      <w:widowControl w:val="0"/>
      <w:autoSpaceDE w:val="0"/>
      <w:autoSpaceDN w:val="0"/>
      <w:spacing w:after="0" w:line="240" w:lineRule="auto"/>
      <w:ind w:left="1619"/>
      <w:jc w:val="both"/>
      <w:outlineLvl w:val="0"/>
    </w:pPr>
    <w:rPr>
      <w:rFonts w:ascii="Times New Roman" w:cs="Times New Roman" w:eastAsia="Times New Roman" w:hAnsi="Times New Roman"/>
      <w:b w:val="1"/>
      <w:bCs w:val="1"/>
      <w:sz w:val="28"/>
      <w:szCs w:val="28"/>
      <w:lang w:val="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1"/>
    <w:rsid w:val="00EB1512"/>
    <w:rPr>
      <w:rFonts w:ascii="Times New Roman" w:cs="Times New Roman" w:eastAsia="Times New Roman" w:hAnsi="Times New Roman"/>
      <w:b w:val="1"/>
      <w:bCs w:val="1"/>
      <w:sz w:val="28"/>
      <w:szCs w:val="28"/>
      <w:lang w:val="uk-UA"/>
    </w:rPr>
  </w:style>
  <w:style w:type="paragraph" w:styleId="a3">
    <w:name w:val="Body Text"/>
    <w:basedOn w:val="a"/>
    <w:link w:val="a4"/>
    <w:uiPriority w:val="1"/>
    <w:qFormat w:val="1"/>
    <w:rsid w:val="00EB1512"/>
    <w:pPr>
      <w:widowControl w:val="0"/>
      <w:autoSpaceDE w:val="0"/>
      <w:autoSpaceDN w:val="0"/>
      <w:spacing w:after="0" w:line="240" w:lineRule="auto"/>
      <w:ind w:left="467" w:firstLine="600"/>
      <w:jc w:val="both"/>
    </w:pPr>
    <w:rPr>
      <w:rFonts w:ascii="Times New Roman" w:cs="Times New Roman" w:eastAsia="Times New Roman" w:hAnsi="Times New Roman"/>
      <w:sz w:val="28"/>
      <w:szCs w:val="28"/>
      <w:lang w:val="uk-UA"/>
    </w:rPr>
  </w:style>
  <w:style w:type="character" w:styleId="a4" w:customStyle="1">
    <w:name w:val="Основной текст Знак"/>
    <w:basedOn w:val="a0"/>
    <w:link w:val="a3"/>
    <w:uiPriority w:val="1"/>
    <w:rsid w:val="00EB1512"/>
    <w:rPr>
      <w:rFonts w:ascii="Times New Roman" w:cs="Times New Roman" w:eastAsia="Times New Roman" w:hAnsi="Times New Roman"/>
      <w:sz w:val="28"/>
      <w:szCs w:val="28"/>
      <w:lang w:val="uk-UA"/>
    </w:rPr>
  </w:style>
  <w:style w:type="paragraph" w:styleId="a5">
    <w:name w:val="List Paragraph"/>
    <w:basedOn w:val="a"/>
    <w:uiPriority w:val="1"/>
    <w:qFormat w:val="1"/>
    <w:rsid w:val="00EB1512"/>
    <w:pPr>
      <w:widowControl w:val="0"/>
      <w:autoSpaceDE w:val="0"/>
      <w:autoSpaceDN w:val="0"/>
      <w:spacing w:after="0" w:line="240" w:lineRule="auto"/>
      <w:ind w:left="466" w:hanging="360"/>
      <w:jc w:val="both"/>
    </w:pPr>
    <w:rPr>
      <w:rFonts w:ascii="Times New Roman" w:cs="Times New Roman" w:eastAsia="Times New Roman" w:hAnsi="Times New Roman"/>
      <w:lang w:val="uk-UA"/>
    </w:rPr>
  </w:style>
  <w:style w:type="character" w:styleId="a6">
    <w:name w:val="Hyperlink"/>
    <w:basedOn w:val="a0"/>
    <w:uiPriority w:val="99"/>
    <w:semiHidden w:val="1"/>
    <w:unhideWhenUsed w:val="1"/>
    <w:rsid w:val="00EB1512"/>
    <w:rPr>
      <w:color w:val="0000ff"/>
      <w:u w:val="single"/>
    </w:rPr>
  </w:style>
  <w:style w:type="character" w:styleId="a7">
    <w:name w:val="FollowedHyperlink"/>
    <w:basedOn w:val="a0"/>
    <w:uiPriority w:val="99"/>
    <w:semiHidden w:val="1"/>
    <w:unhideWhenUsed w:val="1"/>
    <w:rsid w:val="00EB1512"/>
    <w:rPr>
      <w:color w:val="800080" w:themeColor="followedHyperlink"/>
      <w:u w:val="single"/>
    </w:rPr>
  </w:style>
  <w:style w:type="paragraph" w:styleId="a8">
    <w:name w:val="Balloon Text"/>
    <w:basedOn w:val="a"/>
    <w:link w:val="a9"/>
    <w:uiPriority w:val="99"/>
    <w:semiHidden w:val="1"/>
    <w:unhideWhenUsed w:val="1"/>
    <w:rsid w:val="006450BE"/>
    <w:pPr>
      <w:spacing w:after="0" w:line="240" w:lineRule="auto"/>
    </w:pPr>
    <w:rPr>
      <w:rFonts w:ascii="Tahoma" w:cs="Tahoma" w:hAnsi="Tahoma"/>
      <w:sz w:val="16"/>
      <w:szCs w:val="16"/>
    </w:rPr>
  </w:style>
  <w:style w:type="character" w:styleId="a9" w:customStyle="1">
    <w:name w:val="Текст выноски Знак"/>
    <w:basedOn w:val="a0"/>
    <w:link w:val="a8"/>
    <w:uiPriority w:val="99"/>
    <w:semiHidden w:val="1"/>
    <w:rsid w:val="006450BE"/>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gif"/><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akon.rada.gov.ua/laws/show/1556-18#Text" TargetMode="External"/><Relationship Id="rId8" Type="http://schemas.openxmlformats.org/officeDocument/2006/relationships/hyperlink" Target="https://zakon.rada.gov.ua/laws/show/2145-19#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hzMlfAcc7j6ImNRDGd2+/4a52g==">CgMxLjAyCGguZ2pkZ3hzMgppZC4zMGowemxsMgppZC4xZm9iOXRlMgppZC4zem55c2g3MgppZC4yZXQ5MnAwMglpZC50eWpjd3Q4AHIhMWVocmpSYjBRWlM2Ui1iQWlPMU1rMWpScDJzVkZ0STRw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2024-11-11T09:20:00Z</dcterms:created>
  <dc:creator>123</dc:creator>
</cp:coreProperties>
</file>