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11"/>
        </w:tabs>
        <w:spacing w:line="360" w:lineRule="auto"/>
        <w:jc w:val="center"/>
        <w:rPr>
          <w:b w:val="1"/>
          <w:sz w:val="28"/>
          <w:szCs w:val="28"/>
        </w:rPr>
      </w:pPr>
      <w:r w:rsidDel="00000000" w:rsidR="00000000" w:rsidRPr="00000000">
        <w:rPr>
          <w:b w:val="1"/>
          <w:sz w:val="28"/>
          <w:szCs w:val="28"/>
          <w:rtl w:val="0"/>
        </w:rPr>
        <w:t xml:space="preserve">МІНІСТЕРСТВО ОСВІТИ І НАУКИ УКРАЇНИ</w:t>
      </w:r>
    </w:p>
    <w:p w:rsidR="00000000" w:rsidDel="00000000" w:rsidP="00000000" w:rsidRDefault="00000000" w:rsidRPr="00000000" w14:paraId="00000002">
      <w:pPr>
        <w:tabs>
          <w:tab w:val="left" w:leader="none" w:pos="711"/>
        </w:tabs>
        <w:spacing w:line="360" w:lineRule="auto"/>
        <w:jc w:val="center"/>
        <w:rPr>
          <w:b w:val="1"/>
          <w:sz w:val="28"/>
          <w:szCs w:val="28"/>
        </w:rPr>
      </w:pPr>
      <w:r w:rsidDel="00000000" w:rsidR="00000000" w:rsidRPr="00000000">
        <w:rPr>
          <w:b w:val="1"/>
          <w:sz w:val="28"/>
          <w:szCs w:val="28"/>
          <w:rtl w:val="0"/>
        </w:rPr>
        <w:t xml:space="preserve">Одеська державна академія будівництва та архітектури</w:t>
      </w:r>
    </w:p>
    <w:p w:rsidR="00000000" w:rsidDel="00000000" w:rsidP="00000000" w:rsidRDefault="00000000" w:rsidRPr="00000000" w14:paraId="00000003">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4">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5">
      <w:pPr>
        <w:tabs>
          <w:tab w:val="left" w:leader="none" w:pos="711"/>
        </w:tabs>
        <w:spacing w:line="360" w:lineRule="auto"/>
        <w:jc w:val="center"/>
        <w:rPr>
          <w:b w:val="1"/>
          <w:sz w:val="28"/>
          <w:szCs w:val="28"/>
        </w:rPr>
      </w:pPr>
      <w:r w:rsidDel="00000000" w:rsidR="00000000" w:rsidRPr="00000000">
        <w:rPr>
          <w:rtl w:val="0"/>
        </w:rPr>
      </w:r>
    </w:p>
    <w:tbl>
      <w:tblPr>
        <w:tblStyle w:val="Table1"/>
        <w:tblW w:w="9765.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0"/>
        <w:gridCol w:w="4605"/>
        <w:tblGridChange w:id="0">
          <w:tblGrid>
            <w:gridCol w:w="5160"/>
            <w:gridCol w:w="4605"/>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tabs>
                <w:tab w:val="left" w:leader="none" w:pos="711"/>
              </w:tabs>
              <w:spacing w:line="360" w:lineRule="auto"/>
              <w:rPr>
                <w:b w:val="1"/>
                <w:sz w:val="28"/>
                <w:szCs w:val="28"/>
              </w:rPr>
            </w:pPr>
            <w:r w:rsidDel="00000000" w:rsidR="00000000" w:rsidRPr="00000000">
              <w:rPr>
                <w:rtl w:val="0"/>
              </w:rPr>
            </w:r>
          </w:p>
          <w:p w:rsidR="00000000" w:rsidDel="00000000" w:rsidP="00000000" w:rsidRDefault="00000000" w:rsidRPr="00000000" w14:paraId="00000007">
            <w:pPr>
              <w:tabs>
                <w:tab w:val="left" w:leader="none" w:pos="711"/>
              </w:tabs>
              <w:spacing w:line="360" w:lineRule="auto"/>
              <w:rPr>
                <w:b w:val="1"/>
                <w:sz w:val="28"/>
                <w:szCs w:val="28"/>
              </w:rPr>
            </w:pPr>
            <w:r w:rsidDel="00000000" w:rsidR="00000000" w:rsidRPr="00000000">
              <w:rPr>
                <w:b w:val="1"/>
                <w:sz w:val="28"/>
                <w:szCs w:val="28"/>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tabs>
                <w:tab w:val="left" w:leader="none" w:pos="711"/>
              </w:tabs>
              <w:spacing w:line="360" w:lineRule="auto"/>
              <w:jc w:val="both"/>
              <w:rPr>
                <w:sz w:val="28"/>
                <w:szCs w:val="28"/>
              </w:rPr>
            </w:pPr>
            <w:r w:rsidDel="00000000" w:rsidR="00000000" w:rsidRPr="00000000">
              <w:rPr>
                <w:b w:val="1"/>
                <w:sz w:val="28"/>
                <w:szCs w:val="28"/>
                <w:rtl w:val="0"/>
              </w:rPr>
              <w:t xml:space="preserve">ЗАТВЕРДЖУЮ</w:t>
            </w:r>
            <w:r w:rsidDel="00000000" w:rsidR="00000000" w:rsidRPr="00000000">
              <w:rPr>
                <w:rtl w:val="0"/>
              </w:rPr>
            </w:r>
          </w:p>
          <w:p w:rsidR="00000000" w:rsidDel="00000000" w:rsidP="00000000" w:rsidRDefault="00000000" w:rsidRPr="00000000" w14:paraId="00000009">
            <w:pPr>
              <w:tabs>
                <w:tab w:val="left" w:leader="none" w:pos="711"/>
              </w:tabs>
              <w:spacing w:line="360" w:lineRule="auto"/>
              <w:jc w:val="both"/>
              <w:rPr>
                <w:sz w:val="28"/>
                <w:szCs w:val="28"/>
              </w:rPr>
            </w:pPr>
            <w:r w:rsidDel="00000000" w:rsidR="00000000" w:rsidRPr="00000000">
              <w:rPr>
                <w:sz w:val="28"/>
                <w:szCs w:val="28"/>
                <w:rtl w:val="0"/>
              </w:rPr>
              <w:t xml:space="preserve">Ректор </w:t>
            </w:r>
          </w:p>
          <w:p w:rsidR="00000000" w:rsidDel="00000000" w:rsidP="00000000" w:rsidRDefault="00000000" w:rsidRPr="00000000" w14:paraId="0000000A">
            <w:pPr>
              <w:tabs>
                <w:tab w:val="left" w:leader="none" w:pos="711"/>
              </w:tabs>
              <w:spacing w:line="360" w:lineRule="auto"/>
              <w:jc w:val="right"/>
              <w:rPr>
                <w:sz w:val="28"/>
                <w:szCs w:val="28"/>
              </w:rPr>
            </w:pPr>
            <w:r w:rsidDel="00000000" w:rsidR="00000000" w:rsidRPr="00000000">
              <w:rPr>
                <w:rtl w:val="0"/>
              </w:rPr>
            </w:r>
          </w:p>
          <w:p w:rsidR="00000000" w:rsidDel="00000000" w:rsidP="00000000" w:rsidRDefault="00000000" w:rsidRPr="00000000" w14:paraId="0000000B">
            <w:pPr>
              <w:tabs>
                <w:tab w:val="left" w:leader="none" w:pos="711"/>
              </w:tabs>
              <w:spacing w:line="360" w:lineRule="auto"/>
              <w:jc w:val="right"/>
              <w:rPr>
                <w:sz w:val="28"/>
                <w:szCs w:val="28"/>
              </w:rPr>
            </w:pPr>
            <w:r w:rsidDel="00000000" w:rsidR="00000000" w:rsidRPr="00000000">
              <w:rPr>
                <w:sz w:val="28"/>
                <w:szCs w:val="28"/>
                <w:rtl w:val="0"/>
              </w:rPr>
              <w:t xml:space="preserve"> Анатолій КОВРОВ</w:t>
            </w:r>
          </w:p>
          <w:p w:rsidR="00000000" w:rsidDel="00000000" w:rsidP="00000000" w:rsidRDefault="00000000" w:rsidRPr="00000000" w14:paraId="0000000C">
            <w:pPr>
              <w:tabs>
                <w:tab w:val="left" w:leader="none" w:pos="711"/>
              </w:tabs>
              <w:spacing w:after="240" w:before="240" w:line="360" w:lineRule="auto"/>
              <w:jc w:val="both"/>
              <w:rPr>
                <w:sz w:val="28"/>
                <w:szCs w:val="28"/>
              </w:rPr>
            </w:pPr>
            <w:r w:rsidDel="00000000" w:rsidR="00000000" w:rsidRPr="00000000">
              <w:rPr>
                <w:sz w:val="28"/>
                <w:szCs w:val="28"/>
                <w:rtl w:val="0"/>
              </w:rPr>
              <w:t xml:space="preserve">«____» __________________</w:t>
            </w:r>
            <w:r w:rsidDel="00000000" w:rsidR="00000000" w:rsidRPr="00000000">
              <w:rPr>
                <w:sz w:val="28"/>
                <w:szCs w:val="28"/>
                <w:highlight w:val="white"/>
                <w:rtl w:val="0"/>
              </w:rPr>
              <w:t xml:space="preserve"> </w:t>
            </w:r>
            <w:r w:rsidDel="00000000" w:rsidR="00000000" w:rsidRPr="00000000">
              <w:rPr>
                <w:sz w:val="28"/>
                <w:szCs w:val="28"/>
                <w:rtl w:val="0"/>
              </w:rPr>
              <w:t xml:space="preserve">2024 р.</w:t>
            </w:r>
          </w:p>
        </w:tc>
      </w:tr>
    </w:tbl>
    <w:p w:rsidR="00000000" w:rsidDel="00000000" w:rsidP="00000000" w:rsidRDefault="00000000" w:rsidRPr="00000000" w14:paraId="0000000D">
      <w:pPr>
        <w:tabs>
          <w:tab w:val="left" w:leader="none" w:pos="711"/>
        </w:tabs>
        <w:spacing w:line="360" w:lineRule="auto"/>
        <w:jc w:val="right"/>
        <w:rPr>
          <w:b w:val="1"/>
          <w:sz w:val="24"/>
          <w:szCs w:val="24"/>
        </w:rPr>
      </w:pPr>
      <w:r w:rsidDel="00000000" w:rsidR="00000000" w:rsidRPr="00000000">
        <w:rPr>
          <w:rtl w:val="0"/>
        </w:rPr>
      </w:r>
    </w:p>
    <w:p w:rsidR="00000000" w:rsidDel="00000000" w:rsidP="00000000" w:rsidRDefault="00000000" w:rsidRPr="00000000" w14:paraId="0000000E">
      <w:pPr>
        <w:tabs>
          <w:tab w:val="left" w:leader="none" w:pos="711"/>
        </w:tabs>
        <w:spacing w:line="360" w:lineRule="auto"/>
        <w:jc w:val="right"/>
        <w:rPr>
          <w:b w:val="1"/>
          <w:sz w:val="24"/>
          <w:szCs w:val="24"/>
        </w:rPr>
      </w:pPr>
      <w:r w:rsidDel="00000000" w:rsidR="00000000" w:rsidRPr="00000000">
        <w:rPr>
          <w:rtl w:val="0"/>
        </w:rPr>
      </w:r>
    </w:p>
    <w:p w:rsidR="00000000" w:rsidDel="00000000" w:rsidP="00000000" w:rsidRDefault="00000000" w:rsidRPr="00000000" w14:paraId="0000000F">
      <w:pPr>
        <w:tabs>
          <w:tab w:val="left" w:leader="none" w:pos="711"/>
        </w:tabs>
        <w:spacing w:line="360" w:lineRule="auto"/>
        <w:jc w:val="center"/>
        <w:rPr>
          <w:b w:val="1"/>
          <w:sz w:val="36"/>
          <w:szCs w:val="36"/>
        </w:rPr>
      </w:pPr>
      <w:r w:rsidDel="00000000" w:rsidR="00000000" w:rsidRPr="00000000">
        <w:rPr>
          <w:b w:val="1"/>
          <w:sz w:val="36"/>
          <w:szCs w:val="36"/>
          <w:rtl w:val="0"/>
        </w:rPr>
        <w:t xml:space="preserve">Проєкт</w:t>
      </w:r>
    </w:p>
    <w:p w:rsidR="00000000" w:rsidDel="00000000" w:rsidP="00000000" w:rsidRDefault="00000000" w:rsidRPr="00000000" w14:paraId="00000010">
      <w:pPr>
        <w:tabs>
          <w:tab w:val="left" w:leader="none" w:pos="711"/>
          <w:tab w:val="center" w:leader="none" w:pos="4820"/>
          <w:tab w:val="left" w:leader="none" w:pos="6571"/>
        </w:tabs>
        <w:spacing w:line="360" w:lineRule="auto"/>
        <w:jc w:val="center"/>
        <w:rPr>
          <w:b w:val="1"/>
          <w:sz w:val="32"/>
          <w:szCs w:val="32"/>
        </w:rPr>
      </w:pPr>
      <w:r w:rsidDel="00000000" w:rsidR="00000000" w:rsidRPr="00000000">
        <w:rPr>
          <w:b w:val="1"/>
          <w:sz w:val="32"/>
          <w:szCs w:val="32"/>
          <w:rtl w:val="0"/>
        </w:rPr>
        <w:t xml:space="preserve">ПОЛОЖЕННЯ</w:t>
      </w:r>
    </w:p>
    <w:p w:rsidR="00000000" w:rsidDel="00000000" w:rsidP="00000000" w:rsidRDefault="00000000" w:rsidRPr="00000000" w14:paraId="00000011">
      <w:pPr>
        <w:tabs>
          <w:tab w:val="left" w:leader="none" w:pos="711"/>
          <w:tab w:val="center" w:leader="none" w:pos="4820"/>
          <w:tab w:val="left" w:leader="none" w:pos="6571"/>
        </w:tabs>
        <w:spacing w:line="360" w:lineRule="auto"/>
        <w:jc w:val="center"/>
        <w:rPr>
          <w:b w:val="1"/>
          <w:sz w:val="32"/>
          <w:szCs w:val="32"/>
        </w:rPr>
      </w:pPr>
      <w:r w:rsidDel="00000000" w:rsidR="00000000" w:rsidRPr="00000000">
        <w:rPr>
          <w:b w:val="1"/>
          <w:sz w:val="32"/>
          <w:szCs w:val="32"/>
          <w:rtl w:val="0"/>
        </w:rPr>
        <w:t xml:space="preserve">ПРО ЗАПОБІГАННЯ ТА ПРОТИДІЮ БУЛІНГУ</w:t>
      </w:r>
    </w:p>
    <w:p w:rsidR="00000000" w:rsidDel="00000000" w:rsidP="00000000" w:rsidRDefault="00000000" w:rsidRPr="00000000" w14:paraId="00000012">
      <w:pPr>
        <w:tabs>
          <w:tab w:val="left" w:leader="none" w:pos="711"/>
          <w:tab w:val="center" w:leader="none" w:pos="4820"/>
          <w:tab w:val="left" w:leader="none" w:pos="6571"/>
        </w:tabs>
        <w:spacing w:line="360" w:lineRule="auto"/>
        <w:jc w:val="center"/>
        <w:rPr>
          <w:b w:val="1"/>
          <w:sz w:val="32"/>
          <w:szCs w:val="32"/>
        </w:rPr>
      </w:pPr>
      <w:r w:rsidDel="00000000" w:rsidR="00000000" w:rsidRPr="00000000">
        <w:rPr>
          <w:b w:val="1"/>
          <w:sz w:val="32"/>
          <w:szCs w:val="32"/>
          <w:rtl w:val="0"/>
        </w:rPr>
        <w:t xml:space="preserve">В ОДЕСЬКІЙ ДЕРЖАВНІЙ АКАДЕМІЇ</w:t>
      </w:r>
    </w:p>
    <w:p w:rsidR="00000000" w:rsidDel="00000000" w:rsidP="00000000" w:rsidRDefault="00000000" w:rsidRPr="00000000" w14:paraId="00000013">
      <w:pPr>
        <w:tabs>
          <w:tab w:val="left" w:leader="none" w:pos="711"/>
          <w:tab w:val="center" w:leader="none" w:pos="4820"/>
          <w:tab w:val="left" w:leader="none" w:pos="6571"/>
        </w:tabs>
        <w:spacing w:line="360" w:lineRule="auto"/>
        <w:jc w:val="center"/>
        <w:rPr>
          <w:b w:val="1"/>
          <w:sz w:val="32"/>
          <w:szCs w:val="32"/>
        </w:rPr>
      </w:pPr>
      <w:r w:rsidDel="00000000" w:rsidR="00000000" w:rsidRPr="00000000">
        <w:rPr>
          <w:b w:val="1"/>
          <w:sz w:val="32"/>
          <w:szCs w:val="32"/>
          <w:rtl w:val="0"/>
        </w:rPr>
        <w:t xml:space="preserve"> БУДІВНИЦТВА ТА АРХІТЕКТУРИ</w:t>
      </w:r>
    </w:p>
    <w:p w:rsidR="00000000" w:rsidDel="00000000" w:rsidP="00000000" w:rsidRDefault="00000000" w:rsidRPr="00000000" w14:paraId="00000014">
      <w:pPr>
        <w:tabs>
          <w:tab w:val="left" w:leader="none" w:pos="711"/>
        </w:tabs>
        <w:spacing w:line="360" w:lineRule="auto"/>
        <w:jc w:val="center"/>
        <w:rPr>
          <w:b w:val="1"/>
          <w:sz w:val="32"/>
          <w:szCs w:val="32"/>
        </w:rPr>
      </w:pPr>
      <w:r w:rsidDel="00000000" w:rsidR="00000000" w:rsidRPr="00000000">
        <w:rPr>
          <w:rtl w:val="0"/>
        </w:rPr>
      </w:r>
    </w:p>
    <w:p w:rsidR="00000000" w:rsidDel="00000000" w:rsidP="00000000" w:rsidRDefault="00000000" w:rsidRPr="00000000" w14:paraId="00000015">
      <w:pPr>
        <w:tabs>
          <w:tab w:val="left" w:leader="none" w:pos="711"/>
        </w:tabs>
        <w:spacing w:line="360" w:lineRule="auto"/>
        <w:jc w:val="right"/>
        <w:rPr>
          <w:b w:val="1"/>
          <w:sz w:val="24"/>
          <w:szCs w:val="24"/>
        </w:rPr>
      </w:pPr>
      <w:r w:rsidDel="00000000" w:rsidR="00000000" w:rsidRPr="00000000">
        <w:rPr>
          <w:rtl w:val="0"/>
        </w:rPr>
      </w:r>
    </w:p>
    <w:tbl>
      <w:tblPr>
        <w:tblStyle w:val="Table2"/>
        <w:tblW w:w="15247.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3"/>
        <w:gridCol w:w="5107"/>
        <w:gridCol w:w="5107"/>
        <w:tblGridChange w:id="0">
          <w:tblGrid>
            <w:gridCol w:w="5033"/>
            <w:gridCol w:w="5107"/>
            <w:gridCol w:w="5107"/>
          </w:tblGrid>
        </w:tblGridChange>
      </w:tblGrid>
      <w:tr>
        <w:trPr>
          <w:cantSplit w:val="0"/>
          <w:trHeight w:val="284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17">
            <w:pPr>
              <w:tabs>
                <w:tab w:val="left" w:leader="none" w:pos="711"/>
              </w:tabs>
              <w:spacing w:line="360" w:lineRule="auto"/>
              <w:rPr>
                <w:b w:val="1"/>
                <w:sz w:val="24"/>
                <w:szCs w:val="24"/>
              </w:rPr>
            </w:pPr>
            <w:bookmarkStart w:colFirst="0" w:colLast="0" w:name="_heading=h.gjdgxs" w:id="0"/>
            <w:bookmarkEnd w:id="0"/>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tabs>
                <w:tab w:val="left" w:leader="none" w:pos="711"/>
              </w:tabs>
              <w:jc w:val="both"/>
              <w:rPr>
                <w:b w:val="1"/>
                <w:sz w:val="28"/>
                <w:szCs w:val="28"/>
              </w:rPr>
            </w:pPr>
            <w:r w:rsidDel="00000000" w:rsidR="00000000" w:rsidRPr="00000000">
              <w:rPr>
                <w:b w:val="1"/>
                <w:sz w:val="28"/>
                <w:szCs w:val="28"/>
                <w:rtl w:val="0"/>
              </w:rPr>
              <w:t xml:space="preserve">СХВАЛЕНО </w:t>
            </w:r>
          </w:p>
          <w:p w:rsidR="00000000" w:rsidDel="00000000" w:rsidP="00000000" w:rsidRDefault="00000000" w:rsidRPr="00000000" w14:paraId="00000019">
            <w:pPr>
              <w:tabs>
                <w:tab w:val="left" w:leader="none" w:pos="711"/>
              </w:tabs>
              <w:rPr>
                <w:sz w:val="28"/>
                <w:szCs w:val="28"/>
              </w:rPr>
            </w:pPr>
            <w:r w:rsidDel="00000000" w:rsidR="00000000" w:rsidRPr="00000000">
              <w:rPr>
                <w:sz w:val="28"/>
                <w:szCs w:val="28"/>
                <w:rtl w:val="0"/>
              </w:rPr>
              <w:t xml:space="preserve">Вченою радою </w:t>
            </w:r>
          </w:p>
          <w:p w:rsidR="00000000" w:rsidDel="00000000" w:rsidP="00000000" w:rsidRDefault="00000000" w:rsidRPr="00000000" w14:paraId="0000001A">
            <w:pPr>
              <w:tabs>
                <w:tab w:val="left" w:leader="none" w:pos="711"/>
              </w:tabs>
              <w:rPr>
                <w:sz w:val="28"/>
                <w:szCs w:val="28"/>
              </w:rPr>
            </w:pPr>
            <w:r w:rsidDel="00000000" w:rsidR="00000000" w:rsidRPr="00000000">
              <w:rPr>
                <w:sz w:val="28"/>
                <w:szCs w:val="28"/>
                <w:rtl w:val="0"/>
              </w:rPr>
              <w:t xml:space="preserve">Одеської державної академії будівництва та архітектури </w:t>
            </w:r>
          </w:p>
          <w:p w:rsidR="00000000" w:rsidDel="00000000" w:rsidP="00000000" w:rsidRDefault="00000000" w:rsidRPr="00000000" w14:paraId="0000001B">
            <w:pPr>
              <w:tabs>
                <w:tab w:val="left" w:leader="none" w:pos="711"/>
              </w:tabs>
              <w:rPr>
                <w:color w:val="ffffff"/>
                <w:sz w:val="28"/>
                <w:szCs w:val="28"/>
              </w:rPr>
            </w:pPr>
            <w:r w:rsidDel="00000000" w:rsidR="00000000" w:rsidRPr="00000000">
              <w:rPr>
                <w:sz w:val="28"/>
                <w:szCs w:val="28"/>
                <w:rtl w:val="0"/>
              </w:rPr>
              <w:t xml:space="preserve">Протокол №   від            2024 р. </w:t>
            </w:r>
            <w:r w:rsidDel="00000000" w:rsidR="00000000" w:rsidRPr="00000000">
              <w:rPr>
                <w:rtl w:val="0"/>
              </w:rPr>
            </w:r>
          </w:p>
          <w:p w:rsidR="00000000" w:rsidDel="00000000" w:rsidP="00000000" w:rsidRDefault="00000000" w:rsidRPr="00000000" w14:paraId="0000001C">
            <w:pPr>
              <w:tabs>
                <w:tab w:val="left" w:leader="none" w:pos="711"/>
              </w:tabs>
              <w:spacing w:line="360" w:lineRule="auto"/>
              <w:rPr>
                <w:color w:val="ffffff"/>
                <w:sz w:val="28"/>
                <w:szCs w:val="28"/>
              </w:rPr>
            </w:pPr>
            <w:r w:rsidDel="00000000" w:rsidR="00000000" w:rsidRPr="00000000">
              <w:rPr>
                <w:color w:val="ffffff"/>
                <w:sz w:val="28"/>
                <w:szCs w:val="28"/>
                <w:rtl w:val="0"/>
              </w:rPr>
              <w:t xml:space="preserve">Одеської державної академії будівництва та архітектури ” </w:t>
            </w:r>
            <w:r w:rsidDel="00000000" w:rsidR="00000000" w:rsidRPr="00000000">
              <w:rPr>
                <w:color w:val="ffffff"/>
                <w:sz w:val="28"/>
                <w:szCs w:val="28"/>
                <w:highlight w:val="white"/>
                <w:rtl w:val="0"/>
              </w:rPr>
              <w:t xml:space="preserve">           </w:t>
            </w:r>
            <w:r w:rsidDel="00000000" w:rsidR="00000000" w:rsidRPr="00000000">
              <w:rPr>
                <w:color w:val="ffffff"/>
                <w:sz w:val="28"/>
                <w:szCs w:val="28"/>
                <w:rtl w:val="0"/>
              </w:rPr>
              <w:t xml:space="preserve">3оде р.</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tabs>
                <w:tab w:val="left" w:leader="none" w:pos="711"/>
              </w:tabs>
              <w:spacing w:line="360" w:lineRule="auto"/>
              <w:rPr>
                <w:color w:val="ffffff"/>
                <w:sz w:val="28"/>
                <w:szCs w:val="28"/>
              </w:rPr>
            </w:pPr>
            <w:r w:rsidDel="00000000" w:rsidR="00000000" w:rsidRPr="00000000">
              <w:rPr>
                <w:color w:val="ffffff"/>
                <w:sz w:val="28"/>
                <w:szCs w:val="28"/>
                <w:rtl w:val="0"/>
              </w:rPr>
              <w:t xml:space="preserve">Вченою радою Одеської державної академії будівництва та архітектури кол №__  від “    ” </w:t>
            </w:r>
            <w:r w:rsidDel="00000000" w:rsidR="00000000" w:rsidRPr="00000000">
              <w:rPr>
                <w:color w:val="ffffff"/>
                <w:sz w:val="28"/>
                <w:szCs w:val="28"/>
                <w:highlight w:val="white"/>
                <w:rtl w:val="0"/>
              </w:rPr>
              <w:t xml:space="preserve">           </w:t>
            </w:r>
            <w:r w:rsidDel="00000000" w:rsidR="00000000" w:rsidRPr="00000000">
              <w:rPr>
                <w:color w:val="ffffff"/>
                <w:sz w:val="28"/>
                <w:szCs w:val="28"/>
                <w:rtl w:val="0"/>
              </w:rPr>
              <w:t xml:space="preserve">2023 р.</w:t>
            </w:r>
          </w:p>
        </w:tc>
      </w:tr>
    </w:tbl>
    <w:p w:rsidR="00000000" w:rsidDel="00000000" w:rsidP="00000000" w:rsidRDefault="00000000" w:rsidRPr="00000000" w14:paraId="0000001E">
      <w:pPr>
        <w:tabs>
          <w:tab w:val="left" w:leader="none" w:pos="711"/>
        </w:tabs>
        <w:spacing w:line="360" w:lineRule="auto"/>
        <w:jc w:val="right"/>
        <w:rPr>
          <w:b w:val="1"/>
          <w:sz w:val="24"/>
          <w:szCs w:val="24"/>
        </w:rPr>
      </w:pPr>
      <w:r w:rsidDel="00000000" w:rsidR="00000000" w:rsidRPr="00000000">
        <w:rPr>
          <w:rtl w:val="0"/>
        </w:rPr>
      </w:r>
    </w:p>
    <w:p w:rsidR="00000000" w:rsidDel="00000000" w:rsidP="00000000" w:rsidRDefault="00000000" w:rsidRPr="00000000" w14:paraId="0000001F">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20">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21">
      <w:pPr>
        <w:tabs>
          <w:tab w:val="left" w:leader="none" w:pos="711"/>
        </w:tabs>
        <w:spacing w:line="360" w:lineRule="auto"/>
        <w:jc w:val="center"/>
        <w:rPr>
          <w:b w:val="1"/>
          <w:sz w:val="28"/>
          <w:szCs w:val="28"/>
        </w:rPr>
        <w:sectPr>
          <w:pgSz w:h="16840" w:w="11910" w:orient="portrait"/>
          <w:pgMar w:bottom="1134" w:top="1134" w:left="1418" w:right="851" w:header="720" w:footer="720"/>
          <w:pgNumType w:start="1"/>
        </w:sectPr>
      </w:pPr>
      <w:r w:rsidDel="00000000" w:rsidR="00000000" w:rsidRPr="00000000">
        <w:rPr>
          <w:b w:val="1"/>
          <w:sz w:val="28"/>
          <w:szCs w:val="28"/>
          <w:rtl w:val="0"/>
        </w:rPr>
        <w:t xml:space="preserve">ОДЕСА - 2024</w:t>
      </w:r>
    </w:p>
    <w:p w:rsidR="00000000" w:rsidDel="00000000" w:rsidP="00000000" w:rsidRDefault="00000000" w:rsidRPr="00000000" w14:paraId="00000022">
      <w:pPr>
        <w:pStyle w:val="Heading1"/>
        <w:spacing w:before="76" w:lineRule="auto"/>
        <w:ind w:right="137"/>
        <w:rPr/>
      </w:pPr>
      <w:r w:rsidDel="00000000" w:rsidR="00000000" w:rsidRPr="00000000">
        <w:rPr>
          <w:rtl w:val="0"/>
        </w:rPr>
        <w:t xml:space="preserve">І. ЗАГАЛЬНІ ПОЛОЖЕННЯ</w:t>
      </w:r>
    </w:p>
    <w:p w:rsidR="00000000" w:rsidDel="00000000" w:rsidP="00000000" w:rsidRDefault="00000000" w:rsidRPr="00000000" w14:paraId="0000002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317" w:line="240" w:lineRule="auto"/>
        <w:ind w:left="0" w:right="3" w:firstLine="74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про  запобігання та протидії булінгу в Одеській державній академії будівництва та архітектури (далі – Положення) розроблено відповідно до вимог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Закону України «Про освіту», Закону України «Про вищу освіту», Закону України «Про запобігання та протидію домашньому насильству», Закону України «Про внесення змін до деяких законодавчих актів України щодо протидії боулінгу (цькуванню)», Наказу МОНУ від 28.12.2019 №1646 «Деякі питання реагування на випадки боулінгу (цькування) та застосування заходів виховного впливу в закладах освіти».</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76"/>
          <w:tab w:val="left" w:leader="none" w:pos="4109"/>
        </w:tabs>
        <w:spacing w:after="0" w:before="0" w:line="240" w:lineRule="auto"/>
        <w:ind w:left="0" w:right="3" w:firstLine="74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Основною метою щодо запобігання та протидії булінгу є психологічне, фізичне, економічне забезпечення та підвищення ефективності освітнього процесу в Одеській державній академії будівництва та архітектури, формування негативного ставлення до булінгу, захист психологічного здоров’я і соціального благополуччя всіх його учасників: здобувачів вищої освіти, науково-педагогічних і педагогічних працівників, співробітників.</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2"/>
          <w:tab w:val="left" w:leader="none" w:pos="1276"/>
          <w:tab w:val="left" w:leader="none" w:pos="9356"/>
        </w:tabs>
        <w:spacing w:after="0" w:before="0" w:line="240" w:lineRule="auto"/>
        <w:ind w:left="1276" w:right="3"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Головними завданнями щодо запобігання та протидії булінгу є:</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 w:line="240" w:lineRule="auto"/>
        <w:ind w:left="102" w:right="3" w:firstLine="6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000000" w:rsidDel="00000000" w:rsidP="00000000" w:rsidRDefault="00000000" w:rsidRPr="00000000" w14:paraId="00000027">
      <w:pPr>
        <w:tabs>
          <w:tab w:val="left" w:leader="none" w:pos="142"/>
          <w:tab w:val="left" w:leader="none" w:pos="709"/>
          <w:tab w:val="left" w:leader="none" w:pos="9356"/>
        </w:tabs>
        <w:spacing w:line="321" w:lineRule="auto"/>
        <w:ind w:left="426" w:firstLine="283.00000000000006"/>
        <w:rPr>
          <w:sz w:val="28"/>
          <w:szCs w:val="28"/>
        </w:rPr>
      </w:pPr>
      <w:r w:rsidDel="00000000" w:rsidR="00000000" w:rsidRPr="00000000">
        <w:rPr>
          <w:sz w:val="28"/>
          <w:szCs w:val="28"/>
          <w:rtl w:val="0"/>
        </w:rPr>
        <w:t xml:space="preserve">- навчання ефективним формам спілкування;</w:t>
      </w:r>
    </w:p>
    <w:p w:rsidR="00000000" w:rsidDel="00000000" w:rsidP="00000000" w:rsidRDefault="00000000" w:rsidRPr="00000000" w14:paraId="000000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2"/>
          <w:tab w:val="left" w:leader="none" w:pos="709"/>
          <w:tab w:val="left" w:leader="none" w:pos="830"/>
        </w:tabs>
        <w:spacing w:after="0" w:before="0" w:line="240" w:lineRule="auto"/>
        <w:ind w:left="426" w:right="0" w:firstLine="283.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корекція поведінкових деструкцій;</w:t>
      </w:r>
    </w:p>
    <w:p w:rsidR="00000000" w:rsidDel="00000000" w:rsidP="00000000" w:rsidRDefault="00000000" w:rsidRPr="00000000" w14:paraId="0000002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2"/>
          <w:tab w:val="left" w:leader="none" w:pos="709"/>
          <w:tab w:val="left" w:leader="none" w:pos="830"/>
        </w:tabs>
        <w:spacing w:after="0" w:before="0" w:line="240" w:lineRule="auto"/>
        <w:ind w:left="426" w:right="0" w:firstLine="283.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стратегіям конструктивного вирішення конфліктних   ситуацій;</w:t>
      </w:r>
    </w:p>
    <w:p w:rsidR="00000000" w:rsidDel="00000000" w:rsidP="00000000" w:rsidRDefault="00000000" w:rsidRPr="00000000" w14:paraId="0000002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2"/>
          <w:tab w:val="left" w:leader="none" w:pos="709"/>
          <w:tab w:val="left" w:leader="none" w:pos="830"/>
        </w:tabs>
        <w:spacing w:after="0" w:before="0" w:line="317" w:lineRule="auto"/>
        <w:ind w:left="426" w:right="0" w:firstLine="283.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адекватного рівня самооцінки;</w:t>
      </w:r>
    </w:p>
    <w:p w:rsidR="00000000" w:rsidDel="00000000" w:rsidP="00000000" w:rsidRDefault="00000000" w:rsidRPr="00000000" w14:paraId="0000002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2"/>
          <w:tab w:val="left" w:leader="none" w:pos="709"/>
          <w:tab w:val="left" w:leader="none" w:pos="830"/>
        </w:tabs>
        <w:spacing w:after="0" w:before="0" w:line="322" w:lineRule="auto"/>
        <w:ind w:left="426" w:right="0" w:firstLine="283.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навичок саморегуляції поведінки;</w:t>
      </w:r>
    </w:p>
    <w:p w:rsidR="00000000" w:rsidDel="00000000" w:rsidP="00000000" w:rsidRDefault="00000000" w:rsidRPr="00000000" w14:paraId="0000002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2"/>
          <w:tab w:val="left" w:leader="none" w:pos="709"/>
          <w:tab w:val="left" w:leader="none" w:pos="830"/>
        </w:tabs>
        <w:spacing w:after="0" w:before="0" w:line="322" w:lineRule="auto"/>
        <w:ind w:left="426" w:right="0" w:firstLine="283.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емоційного інтелекту учасників освітнього процесу, зокрема: розуміння та сприйняття цінності прав та свобод людини, вміння відстоювати свої права та поважати права інших.</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02" w:right="80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spacing w:before="1" w:lineRule="auto"/>
        <w:rPr/>
      </w:pPr>
      <w:r w:rsidDel="00000000" w:rsidR="00000000" w:rsidRPr="00000000">
        <w:rPr>
          <w:rtl w:val="0"/>
        </w:rPr>
        <w:t xml:space="preserve">ІІ. ВИЗНАЧЕННЯ ТЕРМІНІВ</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322"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даному Положенні застосовано терміни в наступних значеннях:</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Булінг (цькування)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Кривдник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особа, яка вчинила насильство у будь-якій формі.</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Потерпілий (жертва булінгу)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учасник освітнього процесу, щодо якої було вчинено булінг (цькування).</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Спостерігачі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свідки та (або) безпосередні очевидці випадку булінгу (цькування).</w:t>
      </w:r>
    </w:p>
    <w:p w:rsidR="00000000" w:rsidDel="00000000" w:rsidP="00000000" w:rsidRDefault="00000000" w:rsidRPr="00000000" w14:paraId="00000035">
      <w:pPr>
        <w:tabs>
          <w:tab w:val="left" w:leader="none" w:pos="9356"/>
        </w:tabs>
        <w:ind w:firstLine="567"/>
        <w:jc w:val="both"/>
        <w:rPr>
          <w:sz w:val="28"/>
          <w:szCs w:val="28"/>
        </w:rPr>
      </w:pPr>
      <w:r w:rsidDel="00000000" w:rsidR="00000000" w:rsidRPr="00000000">
        <w:rPr>
          <w:b w:val="1"/>
          <w:sz w:val="28"/>
          <w:szCs w:val="28"/>
          <w:rtl w:val="0"/>
        </w:rPr>
        <w:t xml:space="preserve">Сторони булінгу (цькування) </w:t>
      </w:r>
      <w:r w:rsidDel="00000000" w:rsidR="00000000" w:rsidRPr="00000000">
        <w:rPr>
          <w:rtl w:val="0"/>
        </w:rPr>
        <w:t xml:space="preserve">–</w:t>
      </w:r>
      <w:r w:rsidDel="00000000" w:rsidR="00000000" w:rsidRPr="00000000">
        <w:rPr>
          <w:sz w:val="28"/>
          <w:szCs w:val="28"/>
          <w:rtl w:val="0"/>
        </w:rPr>
        <w:t xml:space="preserve"> безпосередні учасники випадку: кривдник (булер), потерпілий (жертва булінгу), спостерігачі (за наявності).</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Економічний булінг (насильство)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форма булінгу, що включає умисне позбавлення їжі, одягу, іншого майна, коштів чи документів або можливості користуватися ними, перешкоджання в отриманні необхідних послуг, примушування до безоплатної праці, інші правопорушення економічного характеру.</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Психологічний булінг (насильство)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форма булінгу,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Сексуальний булінг (насильство)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форма булінгу,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освітнього, трудового, службового, матеріального чи іншого підпорядкування.</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Фізичний булінг (насильство)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форма булінгу,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000000" w:rsidDel="00000000" w:rsidP="00000000" w:rsidRDefault="00000000" w:rsidRPr="00000000" w14:paraId="0000003A">
      <w:pPr>
        <w:tabs>
          <w:tab w:val="left" w:leader="none" w:pos="9356"/>
        </w:tabs>
        <w:ind w:firstLine="567"/>
        <w:jc w:val="both"/>
        <w:rPr>
          <w:sz w:val="28"/>
          <w:szCs w:val="28"/>
        </w:rPr>
      </w:pPr>
      <w:r w:rsidDel="00000000" w:rsidR="00000000" w:rsidRPr="00000000">
        <w:rPr>
          <w:b w:val="1"/>
          <w:sz w:val="28"/>
          <w:szCs w:val="28"/>
          <w:rtl w:val="0"/>
        </w:rPr>
        <w:t xml:space="preserve">Кібербулінг (насильство) </w:t>
      </w:r>
      <w:r w:rsidDel="00000000" w:rsidR="00000000" w:rsidRPr="00000000">
        <w:rPr>
          <w:rtl w:val="0"/>
        </w:rPr>
        <w:t xml:space="preserve">–</w:t>
      </w:r>
      <w:r w:rsidDel="00000000" w:rsidR="00000000" w:rsidRPr="00000000">
        <w:rPr>
          <w:sz w:val="28"/>
          <w:szCs w:val="28"/>
          <w:rtl w:val="0"/>
        </w:rPr>
        <w:t xml:space="preserve"> форма булінгу, що вчиняється за допомогою електронних засобів комунікації.</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Протидія булінгу (насильству)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 заходів, що здійснюються керівництвом ЗВО, а також іншими учасниками освітнього процесу, та спрямовані на припинення насильства, надання допомоги та захисту Постраждалій особі, а також на належне розслідування випадків насильства.</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1" w:line="240" w:lineRule="auto"/>
        <w:ind w:left="0" w:right="809"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tabs>
          <w:tab w:val="left" w:leader="none" w:pos="9356"/>
        </w:tabs>
        <w:ind w:right="2"/>
        <w:rPr/>
      </w:pPr>
      <w:r w:rsidDel="00000000" w:rsidR="00000000" w:rsidRPr="00000000">
        <w:rPr>
          <w:rtl w:val="0"/>
        </w:rPr>
        <w:t xml:space="preserve">ІІІ. ОЗНАКИ БУЛІНГУ</w:t>
      </w:r>
    </w:p>
    <w:p w:rsidR="00000000" w:rsidDel="00000000" w:rsidP="00000000" w:rsidRDefault="00000000" w:rsidRPr="00000000" w14:paraId="0000003E">
      <w:pPr>
        <w:pStyle w:val="Heading1"/>
        <w:tabs>
          <w:tab w:val="left" w:leader="none" w:pos="9356"/>
        </w:tabs>
        <w:ind w:right="2"/>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276"/>
          <w:tab w:val="left" w:leader="none" w:pos="3527"/>
          <w:tab w:val="left" w:leader="none" w:pos="4434"/>
          <w:tab w:val="left" w:leader="none" w:pos="5844"/>
          <w:tab w:val="left" w:leader="none" w:pos="7203"/>
          <w:tab w:val="left" w:leader="none" w:pos="7850"/>
          <w:tab w:val="left" w:leader="none" w:pos="9356"/>
          <w:tab w:val="left" w:leader="none" w:pos="9639"/>
        </w:tabs>
        <w:spacing w:after="0" w:before="0" w:line="24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боулінгу у Одеській державній академії будівництва та архітектури належать випадки, які відбуваються безпосередньо в приміщеннях академії та на прилеглих територіях.</w:t>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356"/>
        </w:tabs>
        <w:spacing w:after="0" w:before="0" w:line="321" w:lineRule="auto"/>
        <w:ind w:left="1134" w:right="2"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Типовими ознаками булінгу (цькування) є:</w:t>
      </w:r>
    </w:p>
    <w:p w:rsidR="00000000" w:rsidDel="00000000" w:rsidP="00000000" w:rsidRDefault="00000000" w:rsidRPr="00000000" w14:paraId="0000004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0"/>
          <w:tab w:val="left" w:leader="none" w:pos="9356"/>
        </w:tabs>
        <w:spacing w:after="0" w:before="0" w:line="322" w:lineRule="auto"/>
        <w:ind w:left="830" w:right="2" w:hanging="162.000000000000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систематичність (повторюваність) діяння;</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851"/>
          <w:tab w:val="left" w:leader="none" w:pos="9356"/>
        </w:tabs>
        <w:spacing w:after="0" w:before="0" w:line="240" w:lineRule="auto"/>
        <w:ind w:left="142" w:right="2" w:firstLine="5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наявність сторін – кривдник (булер), потерпілий (жертва булінгу), спостерігачі (за наявності);</w:t>
      </w:r>
    </w:p>
    <w:p w:rsidR="00000000" w:rsidDel="00000000" w:rsidP="00000000" w:rsidRDefault="00000000" w:rsidRPr="00000000" w14:paraId="0000004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1134"/>
        </w:tabs>
        <w:spacing w:after="0" w:before="67" w:line="240"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дії кривдника, наслідком яких є заподіяння жертві булінгу психічної та/або фізичної шкоди (словесні образи, погрози, у тому числі щодо третіх осіб, приниження переслідування, залякування, інші діяння, спрямовані на обмеження волевиявлення особи; будь-яка форма небажаної вербальної, невербальної чи фізичної поведінки сексуального характеру, зокрема принизливі погляди, жести, образливі рухи тіла, образи, жарти, поширення образливих чуток; будь-яка форма небажаної фізичної поведінки, зокрема ляпаси, штовхання, щипання, кусання, завдання ударів; інші правопорушення насильницького характеру).</w:t>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 w:line="240" w:lineRule="auto"/>
        <w:ind w:left="142" w:right="2"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Проявами, які можуть бути підставами для підозри в наявності випадку булінгу (цькування) учасника освітнього процесу у закладах вищої освіти, є:</w:t>
      </w:r>
    </w:p>
    <w:p w:rsidR="00000000" w:rsidDel="00000000" w:rsidP="00000000" w:rsidRDefault="00000000" w:rsidRPr="00000000" w14:paraId="0000004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51"/>
        </w:tabs>
        <w:spacing w:after="0" w:before="0" w:line="242"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замкнутість, тривожність, страх або, навпаки, демонстрація повної відсутності страху, ризикована, неврівноважена поведінка;</w:t>
      </w:r>
    </w:p>
    <w:p w:rsidR="00000000" w:rsidDel="00000000" w:rsidP="00000000" w:rsidRDefault="00000000" w:rsidRPr="00000000" w14:paraId="0000004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3"/>
        </w:tabs>
        <w:spacing w:after="0" w:before="0" w:line="240"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агресивність, напади люті, схильність до аутоагресії (самоушкодження) насильства;</w:t>
      </w:r>
    </w:p>
    <w:p w:rsidR="00000000" w:rsidDel="00000000" w:rsidP="00000000" w:rsidRDefault="00000000" w:rsidRPr="00000000" w14:paraId="0000004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0"/>
        </w:tabs>
        <w:spacing w:after="0" w:before="0" w:line="321" w:lineRule="auto"/>
        <w:ind w:left="830" w:right="2" w:hanging="162.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зниження когнітивних функцій та здатності до навчання;</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8"/>
          <w:tab w:val="left" w:leader="none" w:pos="3449"/>
          <w:tab w:val="left" w:leader="none" w:pos="4950"/>
          <w:tab w:val="left" w:leader="none" w:pos="6698"/>
          <w:tab w:val="left" w:leader="none" w:pos="8046"/>
        </w:tabs>
        <w:spacing w:after="0" w:before="0" w:line="240" w:lineRule="auto"/>
        <w:ind w:left="102"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відлюдкуватість, уникнення спілкування, занижена самооцінка,  наявність почуття провини;</w:t>
      </w:r>
    </w:p>
    <w:p w:rsidR="00000000" w:rsidDel="00000000" w:rsidP="00000000" w:rsidRDefault="00000000" w:rsidRPr="00000000" w14:paraId="0000004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51"/>
        </w:tabs>
        <w:spacing w:after="0" w:before="0" w:line="242"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поява швидкої втомлюваності, демонстрація страху перед появою інших учасників освітнього процесу;</w:t>
      </w:r>
    </w:p>
    <w:p w:rsidR="00000000" w:rsidDel="00000000" w:rsidP="00000000" w:rsidRDefault="00000000" w:rsidRPr="00000000" w14:paraId="0000004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51"/>
        </w:tabs>
        <w:spacing w:after="0" w:before="0" w:line="317" w:lineRule="auto"/>
        <w:ind w:left="900" w:right="2" w:hanging="232.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депресивні стани, суїцидальні прояви;</w:t>
      </w:r>
    </w:p>
    <w:p w:rsidR="00000000" w:rsidDel="00000000" w:rsidP="00000000" w:rsidRDefault="00000000" w:rsidRPr="00000000" w14:paraId="0000004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05"/>
        </w:tabs>
        <w:spacing w:after="0" w:before="0" w:line="240"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явні фізичні ушкодження та намагання приховати травми та обставини їх отримання, ознаки поганого самопочуття (нудота, головний біль, кволість тощо);</w:t>
      </w:r>
    </w:p>
    <w:p w:rsidR="00000000" w:rsidDel="00000000" w:rsidP="00000000" w:rsidRDefault="00000000" w:rsidRPr="00000000" w14:paraId="0000004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69"/>
        </w:tabs>
        <w:spacing w:after="0" w:before="0" w:line="242" w:lineRule="auto"/>
        <w:ind w:left="102" w:right="2" w:firstLine="4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фото-, відео- та аудіо матеріалів фізичних або  психологічних знущань, сексуального (інтимного) змісту;</w:t>
      </w:r>
    </w:p>
    <w:p w:rsidR="00000000" w:rsidDel="00000000" w:rsidP="00000000" w:rsidRDefault="00000000" w:rsidRPr="00000000" w14:paraId="0000004D">
      <w:pPr>
        <w:tabs>
          <w:tab w:val="left" w:leader="none" w:pos="9356"/>
        </w:tabs>
        <w:spacing w:line="317" w:lineRule="auto"/>
        <w:ind w:left="851" w:right="2" w:hanging="142.00000000000003"/>
        <w:rPr>
          <w:sz w:val="28"/>
          <w:szCs w:val="28"/>
        </w:rPr>
      </w:pPr>
      <w:r w:rsidDel="00000000" w:rsidR="00000000" w:rsidRPr="00000000">
        <w:rPr>
          <w:sz w:val="28"/>
          <w:szCs w:val="28"/>
          <w:rtl w:val="0"/>
        </w:rPr>
        <w:t xml:space="preserve">- наявні пошкодження або зникнення майна та (або) особистих речей; </w:t>
      </w:r>
    </w:p>
    <w:p w:rsidR="00000000" w:rsidDel="00000000" w:rsidP="00000000" w:rsidRDefault="00000000" w:rsidRPr="00000000" w14:paraId="0000004E">
      <w:pPr>
        <w:tabs>
          <w:tab w:val="left" w:leader="none" w:pos="9356"/>
        </w:tabs>
        <w:spacing w:line="317" w:lineRule="auto"/>
        <w:ind w:left="142" w:right="2" w:firstLine="567"/>
        <w:rPr>
          <w:sz w:val="28"/>
          <w:szCs w:val="28"/>
        </w:rPr>
      </w:pPr>
      <w:r w:rsidDel="00000000" w:rsidR="00000000" w:rsidRPr="00000000">
        <w:rPr>
          <w:sz w:val="28"/>
          <w:szCs w:val="28"/>
          <w:rtl w:val="0"/>
        </w:rPr>
        <w:t xml:space="preserve">- ізоляція, виключення з групи, небажання інших учасників освітнього процесу спілкуватися.</w:t>
      </w:r>
    </w:p>
    <w:p w:rsidR="00000000" w:rsidDel="00000000" w:rsidP="00000000" w:rsidRDefault="00000000" w:rsidRPr="00000000" w14:paraId="0000004F">
      <w:pPr>
        <w:pStyle w:val="Heading1"/>
        <w:spacing w:before="318" w:lineRule="auto"/>
        <w:ind w:left="1006" w:right="0" w:firstLine="0"/>
        <w:jc w:val="left"/>
        <w:rPr/>
      </w:pPr>
      <w:r w:rsidDel="00000000" w:rsidR="00000000" w:rsidRPr="00000000">
        <w:rPr>
          <w:rtl w:val="0"/>
        </w:rPr>
        <w:t xml:space="preserve">ІV. ЗАПОБІГАННЯ ТА ПРОТИДІЯ БУЛІНГУ (ЦЬКУВАННЮ)</w:t>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44"/>
        </w:tabs>
        <w:spacing w:after="0" w:before="319" w:line="240" w:lineRule="auto"/>
        <w:ind w:left="102" w:right="2" w:firstLine="74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Діяльність щодо запобігання та протидії булінгу (цькуванню) в закладі освіти має бути постійним системним процесом, спрямованим на:</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29"/>
        </w:tabs>
        <w:spacing w:after="0" w:before="0" w:line="240"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булінгу (цькування) та (або) потенційних ризиків його виникнення;</w:t>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s>
        <w:spacing w:after="0" w:before="0" w:line="240"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28"/>
        </w:tabs>
        <w:spacing w:after="0" w:before="0" w:line="322" w:lineRule="auto"/>
        <w:ind w:left="1228" w:right="2" w:hanging="3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Запобігання булінгу передбачає роботу за такими напрямками:</w:t>
      </w:r>
    </w:p>
    <w:p w:rsidR="00000000" w:rsidDel="00000000" w:rsidP="00000000" w:rsidRDefault="00000000" w:rsidRPr="00000000" w14:paraId="000000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075"/>
        </w:tabs>
        <w:spacing w:after="0" w:before="0" w:line="240" w:lineRule="auto"/>
        <w:ind w:left="102" w:right="2" w:firstLine="6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ознайомлення професорсько-викладацького складу академії з особливостями прояву та ознаками булінгу у різних його формах;</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068"/>
        </w:tabs>
        <w:spacing w:after="0" w:before="67" w:line="240" w:lineRule="auto"/>
        <w:ind w:left="142"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просвітницька робота серед здобувачів вищої освіти щодо  попередження насильства з використанням основних форм роботи, а саме: психологічних консультацій, тренінгів, рольових ігор, міні-лекцій, круглих столів, бесід, диспутів, кінолекторіїв, організації акцій, виступи провідних спеціалістів у системі профілактичної роботи щодо подолання різноманітних форм агресивної поведінки серед юнаків;</w:t>
      </w:r>
    </w:p>
    <w:p w:rsidR="00000000" w:rsidDel="00000000" w:rsidP="00000000" w:rsidRDefault="00000000" w:rsidRPr="00000000" w14:paraId="0000005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73"/>
        </w:tabs>
        <w:spacing w:after="0" w:before="1" w:line="240"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профілактична робота серед студентської молоді як своєчасне попередження відхилень міжособистісних стосунках, запобігання конфліктним ситуаціям в освітньому процесі, попередження наркоманії, алкоголізму, суїцидів, расової і соціальної нетерпимості, аморальному способу життя та ін.;</w:t>
      </w:r>
    </w:p>
    <w:p w:rsidR="00000000" w:rsidDel="00000000" w:rsidP="00000000" w:rsidRDefault="00000000" w:rsidRPr="00000000" w14:paraId="0000005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02" w:right="2" w:firstLine="55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правосвідомості і правової поведінки студентів, відповідальності за своє життя, розвиток активності, самостійності, творчості здобувачів вищої освіти, створення умов для самореалізації особистості;</w:t>
      </w:r>
    </w:p>
    <w:p w:rsidR="00000000" w:rsidDel="00000000" w:rsidP="00000000" w:rsidRDefault="00000000" w:rsidRPr="00000000" w14:paraId="0000005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57"/>
        </w:tabs>
        <w:spacing w:after="0" w:before="0" w:line="240" w:lineRule="auto"/>
        <w:ind w:left="102"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в Академії умов недопущення булінгу та відповідного середовища в освітній установі для профілактики та боротьби з негативними соціально-педагогічними наслідками цього явища.</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58"/>
        </w:tabs>
        <w:spacing w:after="0" w:before="0" w:line="322" w:lineRule="auto"/>
        <w:ind w:left="1158" w:right="2" w:hanging="3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Протидії булінгу передбачають роботу за такими напрямками:</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40" w:lineRule="auto"/>
        <w:ind w:left="142"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соціальне і психологічне вивчення здобувачів вищої освіти, викладачів і співробітників, груп і колективів, визначення причин, що ускладнюють навчання та взаємини в колективі;</w:t>
      </w:r>
    </w:p>
    <w:p w:rsidR="00000000" w:rsidDel="00000000" w:rsidP="00000000" w:rsidRDefault="00000000" w:rsidRPr="00000000" w14:paraId="0000005B">
      <w:pPr>
        <w:tabs>
          <w:tab w:val="left" w:leader="none" w:pos="1149"/>
        </w:tabs>
        <w:ind w:right="2"/>
        <w:jc w:val="both"/>
        <w:rPr>
          <w:sz w:val="28"/>
          <w:szCs w:val="28"/>
        </w:rPr>
      </w:pPr>
      <w:r w:rsidDel="00000000" w:rsidR="00000000" w:rsidRPr="00000000">
        <w:rPr>
          <w:sz w:val="28"/>
          <w:szCs w:val="28"/>
          <w:rtl w:val="0"/>
        </w:rPr>
        <w:t xml:space="preserve">        - здійснення виховних заходів з метою подолання різних форм девіантної поведінки, психосоматичних станів у жертв булінгу.</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1"/>
        </w:tabs>
        <w:spacing w:after="0" w:before="0" w:line="24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надання психолого-педагогічної і соціальної допомоги здобувачам вищої освіти, які перебувають у кризовій життєвій ситуації, з метою адаптації їх до умов навчання в Академії та соціального середовища;</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spacing w:before="1" w:line="322" w:lineRule="auto"/>
        <w:ind w:right="702"/>
        <w:rPr/>
      </w:pPr>
      <w:r w:rsidDel="00000000" w:rsidR="00000000" w:rsidRPr="00000000">
        <w:rPr>
          <w:rtl w:val="0"/>
        </w:rPr>
        <w:t xml:space="preserve">V. ПОРЯДОК РЕАГУВАННЯ ПРАЦІВНИКІВ АКАДЕМІЇ </w:t>
      </w:r>
    </w:p>
    <w:p w:rsidR="00000000" w:rsidDel="00000000" w:rsidP="00000000" w:rsidRDefault="00000000" w:rsidRPr="00000000" w14:paraId="00000060">
      <w:pPr>
        <w:pStyle w:val="Heading1"/>
        <w:spacing w:before="1" w:line="322" w:lineRule="auto"/>
        <w:ind w:right="702"/>
        <w:rPr>
          <w:b w:val="0"/>
        </w:rPr>
      </w:pPr>
      <w:r w:rsidDel="00000000" w:rsidR="00000000" w:rsidRPr="00000000">
        <w:rPr>
          <w:rtl w:val="0"/>
        </w:rPr>
        <w:t xml:space="preserve">НА ВИЯВЛЕНІ ФАКТИ БУЛІНГУ</w:t>
      </w:r>
      <w:r w:rsidDel="00000000" w:rsidR="00000000" w:rsidRPr="00000000">
        <w:rPr>
          <w:rtl w:val="0"/>
        </w:rPr>
      </w:r>
    </w:p>
    <w:p w:rsidR="00000000" w:rsidDel="00000000" w:rsidP="00000000" w:rsidRDefault="00000000" w:rsidRPr="00000000" w14:paraId="00000061">
      <w:pPr>
        <w:ind w:right="136"/>
        <w:jc w:val="center"/>
        <w:rPr>
          <w:b w:val="1"/>
          <w:sz w:val="28"/>
          <w:szCs w:val="2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Учасники освітнього процесу можуть повідомити про випадок булінгу (цькування), стороною якого вони стали або підозрюють про його вчинення стосовно іншої особи, керівництво Академії (ректора або проректора з науково-педагогічної роботи або директора інституту). Скарга подається в паперовому або електронному вигляді. Електронний варіант скарги може бути надісланий на електронну «Скриньку довіри Одеської державної академії будівництва та архітектури». Для подання письмових скарг створено «Скриньку довіри», яка знаходиться у кожному деканаті академії. Отримані скарги невідкладно (протягом робочого дня) передають проректорові з науково-педагогічної роботи, який ініціює створення Тимчасової комісії. Строк розгляду комісією заяви про повідомлення про випадок булінгу (цькування) в академії та виконання нею своїх завдань не має перевищувати десяти робочих днів із дня отримання заяви про повідомлення керівництвом Академії.</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До складу Тимчасової комісії можуть входити: проректор з науково-педагогічної роботи, директора інститутів, керівники структурних підрозділів, представники органів студентського самоврядування, юрист, психолог. До роботи Комісії можуть бути залучені внутрішні та зовнішні експерти з питань, що розглядаються, а також куратори та старости груп. Склад Тимчасової комісії затверджується ректором Академії.</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5.3.Тимчасова комісія зобов`язана у своїй роботі дотримуватись засад поваги до приватного життя та захисту персональних даних.</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 Метою діяльності тимчасової комісії є:</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5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визначення причин булінгу (цькування) та необхідних заходів для усунення таких причин;</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5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відновлення та нормалізація стосунків, створення сприятливих умов для подальшого здобуття освіти у групі, де стався випадок боулінгу (цькування);</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5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оцінка потреб сторін боулінгу (цькування) в соціальних та психолого-педагогічних послугах та забезпечення таких послуг.</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5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підставі рішення Тимчасової комісії ректор Академії приймає відповідні рішення, передбачені та дозволені законодавством України, зокрема – внесення догани або звільнення працівника, відрахування здобувача вищої освіти, передача матеріалів до правоохоронних органів, тощо.</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Припинення випадку булінгу може вирішуватися без створення Тимчасової комісії та безпосередньої участі керівників структурних підрозділів, в яких виявили факт прояву насильства та психолога.</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5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51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51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nextPage"/>
      <w:pgSz w:h="16840" w:w="11910" w:orient="portrait"/>
      <w:pgMar w:bottom="1134" w:top="1134" w:left="1418"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102" w:hanging="578"/>
      </w:pPr>
      <w:rPr/>
    </w:lvl>
    <w:lvl w:ilvl="1">
      <w:start w:val="1"/>
      <w:numFmt w:val="decimal"/>
      <w:lvlText w:val="%1.%2."/>
      <w:lvlJc w:val="left"/>
      <w:pPr>
        <w:ind w:left="102" w:hanging="578"/>
      </w:pPr>
      <w:rPr>
        <w:rFonts w:ascii="Times New Roman" w:cs="Times New Roman" w:eastAsia="Times New Roman" w:hAnsi="Times New Roman"/>
        <w:b w:val="0"/>
        <w:i w:val="0"/>
        <w:sz w:val="28"/>
        <w:szCs w:val="28"/>
      </w:rPr>
    </w:lvl>
    <w:lvl w:ilvl="2">
      <w:start w:val="0"/>
      <w:numFmt w:val="bullet"/>
      <w:lvlText w:val="-"/>
      <w:lvlJc w:val="left"/>
      <w:pPr>
        <w:ind w:left="102" w:hanging="262"/>
      </w:pPr>
      <w:rPr>
        <w:rFonts w:ascii="Times New Roman" w:cs="Times New Roman" w:eastAsia="Times New Roman" w:hAnsi="Times New Roman"/>
        <w:b w:val="0"/>
        <w:i w:val="0"/>
        <w:sz w:val="28"/>
        <w:szCs w:val="28"/>
      </w:rPr>
    </w:lvl>
    <w:lvl w:ilvl="3">
      <w:start w:val="0"/>
      <w:numFmt w:val="bullet"/>
      <w:lvlText w:val="•"/>
      <w:lvlJc w:val="left"/>
      <w:pPr>
        <w:ind w:left="3149" w:hanging="262"/>
      </w:pPr>
      <w:rPr/>
    </w:lvl>
    <w:lvl w:ilvl="4">
      <w:start w:val="0"/>
      <w:numFmt w:val="bullet"/>
      <w:lvlText w:val="•"/>
      <w:lvlJc w:val="left"/>
      <w:pPr>
        <w:ind w:left="4166" w:hanging="261.99999999999955"/>
      </w:pPr>
      <w:rPr/>
    </w:lvl>
    <w:lvl w:ilvl="5">
      <w:start w:val="0"/>
      <w:numFmt w:val="bullet"/>
      <w:lvlText w:val="•"/>
      <w:lvlJc w:val="left"/>
      <w:pPr>
        <w:ind w:left="5183" w:hanging="262"/>
      </w:pPr>
      <w:rPr/>
    </w:lvl>
    <w:lvl w:ilvl="6">
      <w:start w:val="0"/>
      <w:numFmt w:val="bullet"/>
      <w:lvlText w:val="•"/>
      <w:lvlJc w:val="left"/>
      <w:pPr>
        <w:ind w:left="6199" w:hanging="262.0000000000009"/>
      </w:pPr>
      <w:rPr/>
    </w:lvl>
    <w:lvl w:ilvl="7">
      <w:start w:val="0"/>
      <w:numFmt w:val="bullet"/>
      <w:lvlText w:val="•"/>
      <w:lvlJc w:val="left"/>
      <w:pPr>
        <w:ind w:left="7216" w:hanging="262"/>
      </w:pPr>
      <w:rPr/>
    </w:lvl>
    <w:lvl w:ilvl="8">
      <w:start w:val="0"/>
      <w:numFmt w:val="bullet"/>
      <w:lvlText w:val="•"/>
      <w:lvlJc w:val="left"/>
      <w:pPr>
        <w:ind w:left="8233" w:hanging="262.0000000000009"/>
      </w:pPr>
      <w:rPr/>
    </w:lvl>
  </w:abstractNum>
  <w:abstractNum w:abstractNumId="2">
    <w:lvl w:ilvl="0">
      <w:start w:val="3"/>
      <w:numFmt w:val="decimal"/>
      <w:lvlText w:val="%1"/>
      <w:lvlJc w:val="left"/>
      <w:pPr>
        <w:ind w:left="102" w:hanging="574"/>
      </w:pPr>
      <w:rPr/>
    </w:lvl>
    <w:lvl w:ilvl="1">
      <w:start w:val="1"/>
      <w:numFmt w:val="decimal"/>
      <w:lvlText w:val="%1.%2."/>
      <w:lvlJc w:val="left"/>
      <w:pPr>
        <w:ind w:left="1425" w:hanging="574"/>
      </w:pPr>
      <w:rPr>
        <w:rFonts w:ascii="Times New Roman" w:cs="Times New Roman" w:eastAsia="Times New Roman" w:hAnsi="Times New Roman"/>
        <w:b w:val="0"/>
        <w:i w:val="0"/>
        <w:sz w:val="28"/>
        <w:szCs w:val="28"/>
      </w:rPr>
    </w:lvl>
    <w:lvl w:ilvl="2">
      <w:start w:val="0"/>
      <w:numFmt w:val="bullet"/>
      <w:lvlText w:val="-"/>
      <w:lvlJc w:val="left"/>
      <w:pPr>
        <w:ind w:left="102" w:hanging="164"/>
      </w:pPr>
      <w:rPr>
        <w:rFonts w:ascii="Times New Roman" w:cs="Times New Roman" w:eastAsia="Times New Roman" w:hAnsi="Times New Roman"/>
        <w:b w:val="0"/>
        <w:i w:val="0"/>
        <w:sz w:val="28"/>
        <w:szCs w:val="28"/>
      </w:rPr>
    </w:lvl>
    <w:lvl w:ilvl="3">
      <w:start w:val="0"/>
      <w:numFmt w:val="bullet"/>
      <w:lvlText w:val="•"/>
      <w:lvlJc w:val="left"/>
      <w:pPr>
        <w:ind w:left="3149" w:hanging="164"/>
      </w:pPr>
      <w:rPr/>
    </w:lvl>
    <w:lvl w:ilvl="4">
      <w:start w:val="0"/>
      <w:numFmt w:val="bullet"/>
      <w:lvlText w:val="•"/>
      <w:lvlJc w:val="left"/>
      <w:pPr>
        <w:ind w:left="4166" w:hanging="163.99999999999955"/>
      </w:pPr>
      <w:rPr/>
    </w:lvl>
    <w:lvl w:ilvl="5">
      <w:start w:val="0"/>
      <w:numFmt w:val="bullet"/>
      <w:lvlText w:val="•"/>
      <w:lvlJc w:val="left"/>
      <w:pPr>
        <w:ind w:left="5183" w:hanging="164"/>
      </w:pPr>
      <w:rPr/>
    </w:lvl>
    <w:lvl w:ilvl="6">
      <w:start w:val="0"/>
      <w:numFmt w:val="bullet"/>
      <w:lvlText w:val="•"/>
      <w:lvlJc w:val="left"/>
      <w:pPr>
        <w:ind w:left="6199" w:hanging="164"/>
      </w:pPr>
      <w:rPr/>
    </w:lvl>
    <w:lvl w:ilvl="7">
      <w:start w:val="0"/>
      <w:numFmt w:val="bullet"/>
      <w:lvlText w:val="•"/>
      <w:lvlJc w:val="left"/>
      <w:pPr>
        <w:ind w:left="7216" w:hanging="164"/>
      </w:pPr>
      <w:rPr/>
    </w:lvl>
    <w:lvl w:ilvl="8">
      <w:start w:val="0"/>
      <w:numFmt w:val="bullet"/>
      <w:lvlText w:val="•"/>
      <w:lvlJc w:val="left"/>
      <w:pPr>
        <w:ind w:left="8233" w:hanging="164"/>
      </w:pPr>
      <w:rPr/>
    </w:lvl>
  </w:abstractNum>
  <w:abstractNum w:abstractNumId="3">
    <w:lvl w:ilvl="0">
      <w:start w:val="1"/>
      <w:numFmt w:val="decimal"/>
      <w:lvlText w:val="%1"/>
      <w:lvlJc w:val="left"/>
      <w:pPr>
        <w:ind w:left="102" w:hanging="580"/>
      </w:pPr>
      <w:rPr/>
    </w:lvl>
    <w:lvl w:ilvl="1">
      <w:start w:val="1"/>
      <w:numFmt w:val="decimal"/>
      <w:lvlText w:val="%1.%2."/>
      <w:lvlJc w:val="left"/>
      <w:pPr>
        <w:ind w:left="1856" w:hanging="580"/>
      </w:pPr>
      <w:rPr>
        <w:rFonts w:ascii="Times New Roman" w:cs="Times New Roman" w:eastAsia="Times New Roman" w:hAnsi="Times New Roman"/>
        <w:b w:val="0"/>
        <w:i w:val="0"/>
        <w:sz w:val="28"/>
        <w:szCs w:val="28"/>
      </w:rPr>
    </w:lvl>
    <w:lvl w:ilvl="2">
      <w:start w:val="0"/>
      <w:numFmt w:val="bullet"/>
      <w:lvlText w:val="-"/>
      <w:lvlJc w:val="left"/>
      <w:pPr>
        <w:ind w:left="102" w:hanging="358"/>
      </w:pPr>
      <w:rPr>
        <w:rFonts w:ascii="Times New Roman" w:cs="Times New Roman" w:eastAsia="Times New Roman" w:hAnsi="Times New Roman"/>
        <w:b w:val="0"/>
        <w:i w:val="0"/>
        <w:sz w:val="28"/>
        <w:szCs w:val="28"/>
      </w:rPr>
    </w:lvl>
    <w:lvl w:ilvl="3">
      <w:start w:val="0"/>
      <w:numFmt w:val="bullet"/>
      <w:lvlText w:val="•"/>
      <w:lvlJc w:val="left"/>
      <w:pPr>
        <w:ind w:left="3149" w:hanging="358.00000000000045"/>
      </w:pPr>
      <w:rPr/>
    </w:lvl>
    <w:lvl w:ilvl="4">
      <w:start w:val="0"/>
      <w:numFmt w:val="bullet"/>
      <w:lvlText w:val="•"/>
      <w:lvlJc w:val="left"/>
      <w:pPr>
        <w:ind w:left="4166" w:hanging="358"/>
      </w:pPr>
      <w:rPr/>
    </w:lvl>
    <w:lvl w:ilvl="5">
      <w:start w:val="0"/>
      <w:numFmt w:val="bullet"/>
      <w:lvlText w:val="•"/>
      <w:lvlJc w:val="left"/>
      <w:pPr>
        <w:ind w:left="5183" w:hanging="358.0000000000009"/>
      </w:pPr>
      <w:rPr/>
    </w:lvl>
    <w:lvl w:ilvl="6">
      <w:start w:val="0"/>
      <w:numFmt w:val="bullet"/>
      <w:lvlText w:val="•"/>
      <w:lvlJc w:val="left"/>
      <w:pPr>
        <w:ind w:left="6199" w:hanging="358"/>
      </w:pPr>
      <w:rPr/>
    </w:lvl>
    <w:lvl w:ilvl="7">
      <w:start w:val="0"/>
      <w:numFmt w:val="bullet"/>
      <w:lvlText w:val="•"/>
      <w:lvlJc w:val="left"/>
      <w:pPr>
        <w:ind w:left="7216" w:hanging="357.9999999999991"/>
      </w:pPr>
      <w:rPr/>
    </w:lvl>
    <w:lvl w:ilvl="8">
      <w:start w:val="0"/>
      <w:numFmt w:val="bullet"/>
      <w:lvlText w:val="•"/>
      <w:lvlJc w:val="left"/>
      <w:pPr>
        <w:ind w:left="8233" w:hanging="35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136"/>
      <w:jc w:val="center"/>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Pr>
      <w:rFonts w:ascii="Times New Roman" w:cs="Times New Roman" w:eastAsia="Times New Roman" w:hAnsi="Times New Roman"/>
      <w:lang w:val="uk-UA"/>
    </w:rPr>
  </w:style>
  <w:style w:type="paragraph" w:styleId="1">
    <w:name w:val="heading 1"/>
    <w:basedOn w:val="a"/>
    <w:uiPriority w:val="1"/>
    <w:qFormat w:val="1"/>
    <w:pPr>
      <w:ind w:right="136"/>
      <w:jc w:val="center"/>
      <w:outlineLvl w:val="0"/>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pPr>
      <w:ind w:left="102" w:firstLine="566"/>
      <w:jc w:val="both"/>
    </w:pPr>
    <w:rPr>
      <w:sz w:val="28"/>
      <w:szCs w:val="28"/>
    </w:rPr>
  </w:style>
  <w:style w:type="paragraph" w:styleId="a4">
    <w:name w:val="List Paragraph"/>
    <w:basedOn w:val="a"/>
    <w:uiPriority w:val="1"/>
    <w:qFormat w:val="1"/>
    <w:pPr>
      <w:ind w:left="102" w:firstLine="566"/>
      <w:jc w:val="both"/>
    </w:pPr>
  </w:style>
  <w:style w:type="paragraph" w:styleId="TableParagraph" w:customStyle="1">
    <w:name w:val="Table Paragraph"/>
    <w:basedOn w:val="a"/>
    <w:uiPriority w:val="1"/>
    <w:qFormat w:val="1"/>
  </w:style>
  <w:style w:type="paragraph" w:styleId="a5">
    <w:name w:val="Balloon Text"/>
    <w:basedOn w:val="a"/>
    <w:link w:val="a6"/>
    <w:uiPriority w:val="99"/>
    <w:semiHidden w:val="1"/>
    <w:unhideWhenUsed w:val="1"/>
    <w:rsid w:val="00064811"/>
    <w:rPr>
      <w:rFonts w:ascii="Tahoma" w:cs="Tahoma" w:hAnsi="Tahoma"/>
      <w:sz w:val="16"/>
      <w:szCs w:val="16"/>
    </w:rPr>
  </w:style>
  <w:style w:type="character" w:styleId="a6" w:customStyle="1">
    <w:name w:val="Текст выноски Знак"/>
    <w:basedOn w:val="a0"/>
    <w:link w:val="a5"/>
    <w:uiPriority w:val="99"/>
    <w:semiHidden w:val="1"/>
    <w:rsid w:val="00064811"/>
    <w:rPr>
      <w:rFonts w:ascii="Tahoma" w:cs="Tahoma" w:eastAsia="Times New Roman" w:hAnsi="Tahoma"/>
      <w:sz w:val="16"/>
      <w:szCs w:val="16"/>
      <w:lang w:val="uk-UA"/>
    </w:rPr>
  </w:style>
  <w:style w:type="paragraph" w:styleId="a7">
    <w:name w:val="No Spacing"/>
    <w:uiPriority w:val="1"/>
    <w:qFormat w:val="1"/>
    <w:rsid w:val="00880EB1"/>
    <w:rPr>
      <w:rFonts w:ascii="Times New Roman" w:cs="Times New Roman" w:eastAsia="Times New Roman" w:hAnsi="Times New Roman"/>
      <w:lang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I685jUL9+Ul9AGJom0LdKQyAA==">CgMxLjAyCGguZ2pkZ3hzOAByITFkR3pqamMxRm8zdFRubjV3UjRHSEF5MjNVWjNqR2hERQ==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2010</vt:lpwstr>
  </property>
  <property fmtid="{D5CDD505-2E9C-101B-9397-08002B2CF9AE}" pid="4" name="LastSaved">
    <vt:filetime>2024-01-04T00:00:00Z</vt:filetime>
  </property>
  <property fmtid="{D5CDD505-2E9C-101B-9397-08002B2CF9AE}" pid="5" name="Producer">
    <vt:lpwstr>Microsoft® Word 2010</vt:lpwstr>
  </property>
</Properties>
</file>