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C" w:rsidRDefault="00FE2F2A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7D7F4C" w:rsidRDefault="00FE2F2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7D7F4C" w:rsidRDefault="00FE2F2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7D7F4C" w:rsidRDefault="00FE2F2A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7D7F4C" w:rsidRDefault="007D7F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7F4C" w:rsidRDefault="00FE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7D7F4C" w:rsidRDefault="00FE2F2A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7D7F4C" w:rsidRDefault="00FE2F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7D7F4C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УП – 157мп</w:t>
            </w:r>
          </w:p>
        </w:tc>
      </w:tr>
      <w:tr w:rsidR="007D7F4C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БЕДРІЙ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FE2F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https://meet.google.com/hcr-qcdq-xcq</w:t>
              </w:r>
            </w:hyperlink>
          </w:p>
        </w:tc>
      </w:tr>
      <w:tr w:rsidR="007D7F4C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Формування  проектної  команди</w:t>
            </w:r>
          </w:p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БЕДРІЙ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FE2F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https://meet.google.com/hcr-qcdq-xcq</w:t>
              </w:r>
            </w:hyperlink>
          </w:p>
        </w:tc>
      </w:tr>
      <w:tr w:rsidR="007D7F4C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7F4C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FE2F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7D7F4C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Стратегічний  менеджмент</w:t>
            </w:r>
          </w:p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FE2F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7D7F4C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7F4C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7F4C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F4C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7F4C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7F4C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7F4C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7F4C" w:rsidRDefault="00FE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7F4C" w:rsidRDefault="007D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D7F4C" w:rsidRDefault="007D7F4C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D7F4C" w:rsidRDefault="00FE2F2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7D7F4C" w:rsidRDefault="007D7F4C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F4C" w:rsidRDefault="00FE2F2A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7D7F4C" w:rsidRDefault="007D7F4C">
      <w:pPr>
        <w:spacing w:after="240"/>
        <w:jc w:val="center"/>
      </w:pPr>
    </w:p>
    <w:sectPr w:rsidR="007D7F4C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7F4C"/>
    <w:rsid w:val="007D7F4C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g-vcnf-tz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cr-qcdq-xc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cr-qcdq-xc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tg-vcnf-t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ED78NP32WwAQpADFjNbllscow==">CgMxLjAyCGguZ2pkZ3hzOAByITFqMEVuLXV4N0RyUjFIa2w0cl9HUjFicXpLUHZuempZUg==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2023-11-27T12:23:00Z</dcterms:modified>
</cp:coreProperties>
</file>